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default" w:ascii="Times New Roman" w:hAnsi="Times New Roman" w:eastAsia="宋体" w:cs="Times New Roman"/>
          <w:b/>
          <w:bCs/>
          <w:color w:val="000000"/>
          <w:spacing w:val="-23"/>
          <w:sz w:val="48"/>
          <w:szCs w:val="48"/>
          <w:lang w:eastAsia="zh-CN"/>
        </w:rPr>
      </w:pPr>
    </w:p>
    <w:p>
      <w:pPr>
        <w:pStyle w:val="32"/>
        <w:rPr>
          <w:rFonts w:hint="default" w:ascii="Times New Roman" w:hAnsi="Times New Roman" w:eastAsia="宋体" w:cs="Times New Roman"/>
          <w:b/>
          <w:bCs/>
          <w:color w:val="000000"/>
          <w:spacing w:val="-23"/>
          <w:sz w:val="48"/>
          <w:szCs w:val="48"/>
          <w:lang w:eastAsia="zh-CN"/>
        </w:rPr>
      </w:pPr>
    </w:p>
    <w:p>
      <w:pPr>
        <w:widowControl/>
        <w:autoSpaceDE/>
        <w:autoSpaceDN/>
        <w:adjustRightInd w:val="0"/>
        <w:snapToGrid w:val="0"/>
        <w:spacing w:after="200" w:line="360" w:lineRule="auto"/>
        <w:jc w:val="center"/>
        <w:rPr>
          <w:rFonts w:hint="eastAsia" w:cs="Times New Roman"/>
          <w:b/>
          <w:color w:val="000000"/>
          <w:sz w:val="48"/>
          <w:szCs w:val="48"/>
          <w:lang w:eastAsia="zh-CN"/>
        </w:rPr>
      </w:pPr>
      <w:r>
        <w:rPr>
          <w:rFonts w:hint="eastAsia" w:cs="Times New Roman"/>
          <w:b/>
          <w:color w:val="000000"/>
          <w:sz w:val="48"/>
          <w:szCs w:val="48"/>
          <w:lang w:eastAsia="zh-CN"/>
        </w:rPr>
        <w:t>岳阳市康源邦尔生物技术有限责任公司</w:t>
      </w:r>
    </w:p>
    <w:p>
      <w:pPr>
        <w:widowControl/>
        <w:autoSpaceDE/>
        <w:autoSpaceDN/>
        <w:adjustRightInd w:val="0"/>
        <w:snapToGrid w:val="0"/>
        <w:spacing w:after="200" w:line="360" w:lineRule="auto"/>
        <w:jc w:val="center"/>
        <w:rPr>
          <w:rFonts w:hint="default" w:ascii="Times New Roman" w:hAnsi="Times New Roman" w:eastAsia="宋体" w:cs="Times New Roman"/>
          <w:b/>
          <w:color w:val="000000"/>
          <w:sz w:val="48"/>
          <w:szCs w:val="48"/>
          <w:lang w:eastAsia="zh-CN"/>
        </w:rPr>
      </w:pPr>
      <w:r>
        <w:rPr>
          <w:rFonts w:hint="eastAsia" w:cs="Times New Roman"/>
          <w:b/>
          <w:color w:val="000000"/>
          <w:sz w:val="48"/>
          <w:szCs w:val="48"/>
          <w:lang w:eastAsia="zh-CN"/>
        </w:rPr>
        <w:t>年产5000吨中量元素肥料生产线技改项目</w:t>
      </w:r>
      <w:r>
        <w:rPr>
          <w:rFonts w:hint="default" w:ascii="Times New Roman" w:hAnsi="Times New Roman" w:eastAsia="宋体" w:cs="Times New Roman"/>
          <w:b/>
          <w:color w:val="000000"/>
          <w:sz w:val="48"/>
          <w:szCs w:val="48"/>
          <w:lang w:eastAsia="zh-CN"/>
        </w:rPr>
        <w:t>竣工环境保护验收监测报告表</w:t>
      </w:r>
    </w:p>
    <w:p>
      <w:pPr>
        <w:rPr>
          <w:rFonts w:hint="default" w:ascii="Times New Roman" w:hAnsi="Times New Roman" w:eastAsia="宋体" w:cs="Times New Roman"/>
          <w:lang w:eastAsia="zh-CN"/>
        </w:rPr>
      </w:pPr>
      <w:bookmarkStart w:id="2" w:name="_GoBack"/>
      <w:bookmarkEnd w:id="2"/>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pStyle w:val="32"/>
        <w:rPr>
          <w:rFonts w:hint="default" w:ascii="Times New Roman" w:hAnsi="Times New Roman" w:eastAsia="宋体" w:cs="Times New Roman"/>
          <w:lang w:eastAsia="zh-CN"/>
        </w:rPr>
      </w:pPr>
    </w:p>
    <w:p>
      <w:pPr>
        <w:rPr>
          <w:rFonts w:hint="default" w:ascii="Times New Roman" w:hAnsi="Times New Roman" w:eastAsia="宋体" w:cs="Times New Roman"/>
          <w:u w:val="single"/>
          <w:lang w:eastAsia="zh-CN"/>
        </w:rPr>
      </w:pPr>
    </w:p>
    <w:p>
      <w:pPr>
        <w:autoSpaceDE/>
        <w:autoSpaceDN/>
        <w:spacing w:line="360" w:lineRule="auto"/>
        <w:jc w:val="center"/>
        <w:rPr>
          <w:rFonts w:hint="default" w:ascii="Times New Roman" w:hAnsi="Times New Roman" w:eastAsia="宋体" w:cs="Times New Roman"/>
          <w:color w:val="000000"/>
          <w:sz w:val="28"/>
          <w:szCs w:val="28"/>
          <w:u w:val="single"/>
          <w:lang w:eastAsia="zh-CN"/>
        </w:rPr>
      </w:pPr>
      <w:r>
        <w:rPr>
          <w:rFonts w:hint="default" w:ascii="Times New Roman" w:hAnsi="Times New Roman" w:eastAsia="宋体" w:cs="Times New Roman"/>
          <w:color w:val="000000"/>
          <w:sz w:val="28"/>
          <w:szCs w:val="28"/>
          <w:u w:val="none"/>
          <w:lang w:eastAsia="zh-CN"/>
        </w:rPr>
        <w:t>建设单位：</w:t>
      </w:r>
      <w:r>
        <w:rPr>
          <w:rFonts w:hint="eastAsia" w:cs="Times New Roman"/>
          <w:color w:val="000000"/>
          <w:sz w:val="28"/>
          <w:szCs w:val="28"/>
          <w:u w:val="single"/>
          <w:lang w:eastAsia="zh-CN"/>
        </w:rPr>
        <w:t>岳阳市康源邦尔生物技术有限责任公司</w:t>
      </w:r>
    </w:p>
    <w:p>
      <w:pPr>
        <w:pStyle w:val="32"/>
        <w:ind w:firstLine="1120" w:firstLineChars="400"/>
        <w:jc w:val="both"/>
        <w:rPr>
          <w:rFonts w:hint="default" w:ascii="Times New Roman" w:hAnsi="Times New Roman" w:eastAsia="宋体" w:cs="Times New Roman"/>
          <w:color w:val="000000"/>
          <w:sz w:val="28"/>
          <w:szCs w:val="28"/>
          <w:u w:val="single"/>
          <w:lang w:val="en-US" w:eastAsia="zh-CN"/>
        </w:rPr>
      </w:pPr>
      <w:r>
        <w:rPr>
          <w:rFonts w:hint="default" w:ascii="Times New Roman" w:hAnsi="Times New Roman" w:eastAsia="宋体" w:cs="Times New Roman"/>
          <w:color w:val="000000"/>
          <w:sz w:val="28"/>
          <w:szCs w:val="28"/>
          <w:u w:val="none"/>
          <w:lang w:eastAsia="zh-CN"/>
        </w:rPr>
        <w:t>编制单位：</w:t>
      </w:r>
      <w:r>
        <w:rPr>
          <w:rFonts w:hint="eastAsia" w:ascii="Times New Roman" w:hAnsi="Times New Roman" w:cs="Times New Roman"/>
          <w:color w:val="000000"/>
          <w:sz w:val="28"/>
          <w:szCs w:val="28"/>
          <w:u w:val="single"/>
          <w:lang w:val="en-US" w:eastAsia="zh-CN"/>
        </w:rPr>
        <w:t xml:space="preserve">       湖南衡润</w:t>
      </w:r>
      <w:r>
        <w:rPr>
          <w:rFonts w:hint="default" w:ascii="Times New Roman" w:hAnsi="Times New Roman" w:eastAsia="宋体" w:cs="Times New Roman"/>
          <w:color w:val="000000"/>
          <w:sz w:val="28"/>
          <w:szCs w:val="28"/>
          <w:u w:val="single"/>
          <w:lang w:eastAsia="zh-CN"/>
        </w:rPr>
        <w:t>科技有限公司</w:t>
      </w:r>
      <w:r>
        <w:rPr>
          <w:rFonts w:hint="eastAsia" w:ascii="Times New Roman" w:hAnsi="Times New Roman" w:cs="Times New Roman"/>
          <w:color w:val="000000"/>
          <w:sz w:val="28"/>
          <w:szCs w:val="28"/>
          <w:u w:val="single"/>
          <w:lang w:val="en-US" w:eastAsia="zh-CN"/>
        </w:rPr>
        <w:t xml:space="preserve">       </w:t>
      </w:r>
    </w:p>
    <w:p>
      <w:pPr>
        <w:autoSpaceDE/>
        <w:autoSpaceDN/>
        <w:spacing w:line="360" w:lineRule="auto"/>
        <w:jc w:val="center"/>
        <w:rPr>
          <w:rFonts w:hint="default" w:ascii="Times New Roman" w:hAnsi="Times New Roman" w:eastAsia="宋体" w:cs="Times New Roman"/>
          <w:color w:val="000000"/>
          <w:sz w:val="28"/>
          <w:szCs w:val="28"/>
          <w:lang w:eastAsia="zh-CN"/>
        </w:rPr>
        <w:sectPr>
          <w:headerReference r:id="rId4" w:type="first"/>
          <w:headerReference r:id="rId3" w:type="default"/>
          <w:pgSz w:w="11906" w:h="16838"/>
          <w:pgMar w:top="1440" w:right="1803" w:bottom="1440" w:left="1803" w:header="850"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000000"/>
          <w:sz w:val="28"/>
          <w:szCs w:val="28"/>
          <w:lang w:eastAsia="zh-CN"/>
        </w:rPr>
        <w:t>二零二</w:t>
      </w:r>
      <w:r>
        <w:rPr>
          <w:rFonts w:hint="eastAsia" w:cs="Times New Roman"/>
          <w:color w:val="000000"/>
          <w:sz w:val="28"/>
          <w:szCs w:val="28"/>
          <w:lang w:eastAsia="zh-CN"/>
        </w:rPr>
        <w:t>一</w:t>
      </w:r>
      <w:r>
        <w:rPr>
          <w:rFonts w:hint="default" w:ascii="Times New Roman" w:hAnsi="Times New Roman" w:eastAsia="宋体" w:cs="Times New Roman"/>
          <w:color w:val="000000"/>
          <w:sz w:val="28"/>
          <w:szCs w:val="28"/>
          <w:lang w:eastAsia="zh-CN"/>
        </w:rPr>
        <w:t>年</w:t>
      </w:r>
      <w:r>
        <w:rPr>
          <w:rFonts w:hint="eastAsia" w:cs="Times New Roman"/>
          <w:color w:val="000000"/>
          <w:sz w:val="28"/>
          <w:szCs w:val="28"/>
          <w:lang w:eastAsia="zh-CN"/>
        </w:rPr>
        <w:t>十一</w:t>
      </w:r>
      <w:r>
        <w:rPr>
          <w:rFonts w:hint="default" w:ascii="Times New Roman" w:hAnsi="Times New Roman" w:eastAsia="宋体" w:cs="Times New Roman"/>
          <w:color w:val="000000"/>
          <w:sz w:val="28"/>
          <w:szCs w:val="28"/>
          <w:lang w:eastAsia="zh-CN"/>
        </w:rPr>
        <w:t>月</w:t>
      </w:r>
    </w:p>
    <w:tbl>
      <w:tblPr>
        <w:tblStyle w:val="19"/>
        <w:tblW w:w="8971" w:type="dxa"/>
        <w:jc w:val="center"/>
        <w:tblLayout w:type="fixed"/>
        <w:tblCellMar>
          <w:top w:w="0" w:type="dxa"/>
          <w:left w:w="108" w:type="dxa"/>
          <w:bottom w:w="0" w:type="dxa"/>
          <w:right w:w="108" w:type="dxa"/>
        </w:tblCellMar>
      </w:tblPr>
      <w:tblGrid>
        <w:gridCol w:w="8555"/>
        <w:gridCol w:w="416"/>
      </w:tblGrid>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 xml:space="preserve">建设单位法人代表： </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（签字）</w:t>
            </w:r>
          </w:p>
          <w:p>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 xml:space="preserve">编制单位法人代表： </w:t>
            </w: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lang w:eastAsia="zh-CN"/>
              </w:rPr>
              <w:t>（签字）</w:t>
            </w:r>
          </w:p>
        </w:tc>
      </w:tr>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项 目 负 责 人：张良</w:t>
            </w:r>
          </w:p>
        </w:tc>
      </w:tr>
      <w:tr>
        <w:tblPrEx>
          <w:tblCellMar>
            <w:top w:w="0" w:type="dxa"/>
            <w:left w:w="108" w:type="dxa"/>
            <w:bottom w:w="0" w:type="dxa"/>
            <w:right w:w="108" w:type="dxa"/>
          </w:tblCellMar>
        </w:tblPrEx>
        <w:trPr>
          <w:trHeight w:val="737" w:hRule="atLeast"/>
          <w:jc w:val="center"/>
        </w:trPr>
        <w:tc>
          <w:tcPr>
            <w:tcW w:w="8971" w:type="dxa"/>
            <w:gridSpan w:val="2"/>
            <w:vAlign w:val="center"/>
          </w:tcPr>
          <w:p>
            <w:pP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填    表    人：陈逸杰</w:t>
            </w:r>
          </w:p>
        </w:tc>
      </w:tr>
      <w:tr>
        <w:tblPrEx>
          <w:tblCellMar>
            <w:top w:w="0" w:type="dxa"/>
            <w:left w:w="108" w:type="dxa"/>
            <w:bottom w:w="0" w:type="dxa"/>
            <w:right w:w="108" w:type="dxa"/>
          </w:tblCellMar>
        </w:tblPrEx>
        <w:trPr>
          <w:trHeight w:val="5896" w:hRule="atLeast"/>
          <w:jc w:val="center"/>
        </w:trPr>
        <w:tc>
          <w:tcPr>
            <w:tcW w:w="8971" w:type="dxa"/>
            <w:gridSpan w:val="2"/>
            <w:vAlign w:val="center"/>
          </w:tcPr>
          <w:p>
            <w:pPr>
              <w:jc w:val="both"/>
              <w:rPr>
                <w:rFonts w:hint="default" w:ascii="Times New Roman" w:hAnsi="Times New Roman" w:eastAsia="宋体" w:cs="Times New Roman"/>
                <w:sz w:val="28"/>
                <w:szCs w:val="28"/>
                <w:lang w:eastAsia="zh-CN"/>
              </w:rPr>
            </w:pPr>
          </w:p>
          <w:p>
            <w:pPr>
              <w:jc w:val="both"/>
              <w:rPr>
                <w:rFonts w:hint="default" w:ascii="Times New Roman" w:hAnsi="Times New Roman" w:eastAsia="宋体" w:cs="Times New Roman"/>
                <w:sz w:val="28"/>
                <w:szCs w:val="28"/>
                <w:lang w:eastAsia="zh-CN"/>
              </w:rPr>
            </w:pPr>
          </w:p>
          <w:p>
            <w:pPr>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90" w:hRule="atLeast"/>
          <w:jc w:val="center"/>
        </w:trPr>
        <w:tc>
          <w:tcPr>
            <w:tcW w:w="8555" w:type="dxa"/>
            <w:vAlign w:val="center"/>
          </w:tcPr>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9"/>
              <w:gridCol w:w="4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9" w:type="dxa"/>
                  <w:tcBorders>
                    <w:tl2br w:val="nil"/>
                    <w:tr2bl w:val="nil"/>
                  </w:tcBorders>
                </w:tcPr>
                <w:p>
                  <w:pPr>
                    <w:spacing w:line="360" w:lineRule="auto"/>
                    <w:ind w:left="2280" w:hanging="2280" w:hangingChars="950"/>
                    <w:jc w:val="left"/>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sz w:val="24"/>
                      <w:szCs w:val="24"/>
                      <w:lang w:eastAsia="zh-CN"/>
                    </w:rPr>
                    <w:t>建设单位（盖章）：</w:t>
                  </w:r>
                  <w:r>
                    <w:rPr>
                      <w:rFonts w:hint="eastAsia" w:cs="Times New Roman"/>
                      <w:sz w:val="24"/>
                      <w:szCs w:val="24"/>
                      <w:lang w:val="en-US" w:eastAsia="zh-CN"/>
                    </w:rPr>
                    <w:t>岳阳市康源邦尔生物技术有限责任公司</w:t>
                  </w:r>
                </w:p>
              </w:tc>
              <w:tc>
                <w:tcPr>
                  <w:tcW w:w="4170" w:type="dxa"/>
                  <w:tcBorders>
                    <w:tl2br w:val="nil"/>
                    <w:tr2bl w:val="nil"/>
                  </w:tcBorders>
                </w:tcPr>
                <w:p>
                  <w:pPr>
                    <w:spacing w:line="360" w:lineRule="auto"/>
                    <w:jc w:val="left"/>
                    <w:rPr>
                      <w:rFonts w:hint="default" w:ascii="Times New Roman" w:hAnsi="Times New Roman" w:eastAsia="宋体" w:cs="Times New Roman"/>
                      <w:sz w:val="24"/>
                      <w:szCs w:val="24"/>
                      <w:vertAlign w:val="baseline"/>
                      <w:lang w:eastAsia="zh-CN"/>
                    </w:rPr>
                  </w:pPr>
                  <w:r>
                    <w:rPr>
                      <w:rFonts w:hint="default" w:ascii="Times New Roman" w:hAnsi="Times New Roman" w:eastAsia="宋体" w:cs="Times New Roman"/>
                      <w:sz w:val="24"/>
                      <w:szCs w:val="24"/>
                      <w:lang w:val="en-US" w:eastAsia="zh-CN"/>
                    </w:rPr>
                    <w:t>编制</w:t>
                  </w:r>
                  <w:r>
                    <w:rPr>
                      <w:rFonts w:hint="default" w:ascii="Times New Roman" w:hAnsi="Times New Roman" w:eastAsia="宋体" w:cs="Times New Roman"/>
                      <w:sz w:val="24"/>
                      <w:szCs w:val="24"/>
                      <w:lang w:eastAsia="zh-CN"/>
                    </w:rPr>
                    <w:t>单位（盖章）：</w:t>
                  </w:r>
                  <w:r>
                    <w:rPr>
                      <w:rFonts w:hint="eastAsia" w:ascii="Times New Roman" w:hAnsi="Times New Roman" w:cs="Times New Roman"/>
                      <w:sz w:val="24"/>
                      <w:szCs w:val="24"/>
                      <w:lang w:val="en-US" w:eastAsia="zh-CN"/>
                    </w:rPr>
                    <w:t>湖南衡润科技有限公司</w:t>
                  </w:r>
                </w:p>
              </w:tc>
            </w:tr>
          </w:tbl>
          <w:p>
            <w:pPr>
              <w:spacing w:line="360" w:lineRule="auto"/>
              <w:ind w:left="2280" w:leftChars="0" w:hanging="2280" w:hangingChars="950"/>
              <w:jc w:val="left"/>
              <w:rPr>
                <w:rFonts w:hint="default" w:ascii="Times New Roman" w:hAnsi="Times New Roman" w:eastAsia="宋体" w:cs="Times New Roman"/>
                <w:sz w:val="24"/>
                <w:szCs w:val="24"/>
                <w:lang w:val="en-US" w:eastAsia="zh-CN"/>
              </w:rPr>
            </w:pPr>
          </w:p>
        </w:tc>
        <w:tc>
          <w:tcPr>
            <w:tcW w:w="416" w:type="dxa"/>
            <w:vMerge w:val="restart"/>
            <w:vAlign w:val="center"/>
          </w:tcPr>
          <w:p>
            <w:pPr>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电    话：</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电    话：</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传    真：</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传    真：</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center"/>
          </w:tcPr>
          <w:p>
            <w:p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邮    编： 414000</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邮    编： 414000</w:t>
            </w:r>
          </w:p>
        </w:tc>
        <w:tc>
          <w:tcPr>
            <w:tcW w:w="416" w:type="dxa"/>
            <w:vMerge w:val="continue"/>
            <w:vAlign w:val="center"/>
          </w:tcPr>
          <w:p>
            <w:pPr>
              <w:ind w:firstLine="560" w:firstLineChars="200"/>
              <w:jc w:val="both"/>
              <w:rPr>
                <w:rFonts w:hint="default" w:ascii="Times New Roman" w:hAnsi="Times New Roman" w:eastAsia="宋体" w:cs="Times New Roman"/>
                <w:sz w:val="28"/>
                <w:szCs w:val="28"/>
                <w:lang w:eastAsia="zh-CN"/>
              </w:rPr>
            </w:pPr>
          </w:p>
        </w:tc>
      </w:tr>
      <w:tr>
        <w:tblPrEx>
          <w:tblCellMar>
            <w:top w:w="0" w:type="dxa"/>
            <w:left w:w="108" w:type="dxa"/>
            <w:bottom w:w="0" w:type="dxa"/>
            <w:right w:w="108" w:type="dxa"/>
          </w:tblCellMar>
        </w:tblPrEx>
        <w:trPr>
          <w:trHeight w:val="737" w:hRule="atLeast"/>
          <w:jc w:val="center"/>
        </w:trPr>
        <w:tc>
          <w:tcPr>
            <w:tcW w:w="8555" w:type="dxa"/>
            <w:vAlign w:val="top"/>
          </w:tcPr>
          <w:tbl>
            <w:tblPr>
              <w:tblStyle w:val="20"/>
              <w:tblW w:w="1667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9"/>
              <w:gridCol w:w="4170"/>
              <w:gridCol w:w="4169"/>
              <w:gridCol w:w="4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9" w:type="dxa"/>
                  <w:tcBorders>
                    <w:tl2br w:val="nil"/>
                    <w:tr2bl w:val="nil"/>
                  </w:tcBorders>
                </w:tcPr>
                <w:p>
                  <w:pPr>
                    <w:pStyle w:val="32"/>
                    <w:spacing w:line="360" w:lineRule="auto"/>
                    <w:jc w:val="both"/>
                    <w:rPr>
                      <w:rFonts w:hint="default"/>
                      <w:lang w:val="en-US" w:eastAsia="zh-CN"/>
                    </w:rPr>
                  </w:pPr>
                  <w:r>
                    <w:rPr>
                      <w:rFonts w:hint="eastAsia" w:ascii="Times New Roman" w:hAnsi="Times New Roman" w:eastAsia="宋体" w:cs="Times New Roman"/>
                      <w:color w:val="auto"/>
                      <w:kern w:val="0"/>
                      <w:sz w:val="24"/>
                      <w:szCs w:val="22"/>
                      <w:u w:val="none" w:color="auto"/>
                      <w:lang w:val="en-US" w:eastAsia="zh-CN" w:bidi="ar-SA"/>
                    </w:rPr>
                    <w:t>地址</w:t>
                  </w:r>
                  <w:r>
                    <w:rPr>
                      <w:rFonts w:hint="default" w:ascii="Times New Roman" w:hAnsi="Times New Roman" w:eastAsia="宋体" w:cs="Times New Roman"/>
                      <w:color w:val="auto"/>
                      <w:kern w:val="0"/>
                      <w:sz w:val="24"/>
                      <w:szCs w:val="22"/>
                      <w:u w:val="none" w:color="auto"/>
                      <w:lang w:val="en-US" w:eastAsia="zh-CN" w:bidi="ar-SA"/>
                    </w:rPr>
                    <w:t>：湖南省岳阳市云溪区岳阳绿色化工产业园吴家垄路</w:t>
                  </w:r>
                </w:p>
              </w:tc>
              <w:tc>
                <w:tcPr>
                  <w:tcW w:w="4170" w:type="dxa"/>
                  <w:tcBorders>
                    <w:tl2br w:val="nil"/>
                    <w:tr2bl w:val="nil"/>
                  </w:tcBorders>
                </w:tcPr>
                <w:p>
                  <w:pPr>
                    <w:spacing w:line="360" w:lineRule="auto"/>
                    <w:jc w:val="left"/>
                    <w:rPr>
                      <w:rFonts w:hint="eastAsia" w:ascii="Times New Roman" w:hAnsi="Times New Roman" w:eastAsia="宋体" w:cs="Times New Roman"/>
                      <w:kern w:val="0"/>
                      <w:sz w:val="24"/>
                      <w:szCs w:val="24"/>
                      <w:vertAlign w:val="baseline"/>
                      <w:lang w:val="en-US" w:eastAsia="zh-CN" w:bidi="ar-SA"/>
                    </w:rPr>
                  </w:pPr>
                  <w:r>
                    <w:rPr>
                      <w:rFonts w:hint="eastAsia" w:ascii="Times New Roman" w:hAnsi="Times New Roman" w:cs="Times New Roman"/>
                      <w:sz w:val="24"/>
                      <w:szCs w:val="24"/>
                      <w:lang w:eastAsia="zh-CN"/>
                    </w:rPr>
                    <w:t>地址</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color w:val="auto"/>
                      <w:sz w:val="24"/>
                      <w:u w:val="none" w:color="auto"/>
                      <w:lang w:eastAsia="zh-CN"/>
                    </w:rPr>
                    <w:t>湖南省岳阳城陵矶新港区长湖路</w:t>
                  </w:r>
                </w:p>
              </w:tc>
              <w:tc>
                <w:tcPr>
                  <w:tcW w:w="4169" w:type="dxa"/>
                  <w:tcBorders>
                    <w:tl2br w:val="nil"/>
                    <w:tr2bl w:val="nil"/>
                  </w:tcBorders>
                </w:tcPr>
                <w:p>
                  <w:pPr>
                    <w:spacing w:line="360" w:lineRule="auto"/>
                    <w:jc w:val="left"/>
                    <w:rPr>
                      <w:rFonts w:hint="default" w:ascii="Times New Roman" w:hAnsi="Times New Roman" w:eastAsia="宋体" w:cs="Times New Roman"/>
                      <w:kern w:val="0"/>
                      <w:sz w:val="24"/>
                      <w:szCs w:val="24"/>
                      <w:vertAlign w:val="baseline"/>
                      <w:lang w:val="en-US" w:eastAsia="zh-CN" w:bidi="ar-SA"/>
                    </w:rPr>
                  </w:pPr>
                  <w:r>
                    <w:rPr>
                      <w:rFonts w:hint="eastAsia" w:ascii="Times New Roman" w:hAnsi="Times New Roman" w:cs="Times New Roman"/>
                      <w:kern w:val="0"/>
                      <w:sz w:val="24"/>
                      <w:szCs w:val="24"/>
                      <w:vertAlign w:val="baseline"/>
                      <w:lang w:val="en-US" w:eastAsia="zh-CN" w:bidi="ar-SA"/>
                    </w:rPr>
                    <w:t>地址：</w:t>
                  </w:r>
                </w:p>
              </w:tc>
              <w:tc>
                <w:tcPr>
                  <w:tcW w:w="4170" w:type="dxa"/>
                  <w:tcBorders>
                    <w:tl2br w:val="nil"/>
                    <w:tr2bl w:val="nil"/>
                  </w:tcBorders>
                </w:tcPr>
                <w:p>
                  <w:pPr>
                    <w:spacing w:line="360" w:lineRule="auto"/>
                    <w:jc w:val="left"/>
                    <w:rPr>
                      <w:rFonts w:hint="default" w:ascii="Times New Roman" w:hAnsi="Times New Roman" w:eastAsia="宋体" w:cs="Times New Roman"/>
                      <w:kern w:val="0"/>
                      <w:sz w:val="24"/>
                      <w:szCs w:val="24"/>
                      <w:vertAlign w:val="baseline"/>
                      <w:lang w:val="en-US" w:eastAsia="zh-CN" w:bidi="ar-SA"/>
                    </w:rPr>
                  </w:pPr>
                </w:p>
              </w:tc>
            </w:tr>
          </w:tbl>
          <w:p>
            <w:pPr>
              <w:spacing w:line="360" w:lineRule="auto"/>
              <w:ind w:left="2280" w:leftChars="0" w:hanging="2280" w:hangingChars="950"/>
              <w:jc w:val="left"/>
              <w:rPr>
                <w:rFonts w:hint="default" w:ascii="Times New Roman" w:hAnsi="Times New Roman" w:eastAsia="宋体" w:cs="Times New Roman"/>
                <w:sz w:val="24"/>
                <w:szCs w:val="24"/>
                <w:lang w:val="en-US" w:eastAsia="zh-CN"/>
              </w:rPr>
            </w:pPr>
          </w:p>
        </w:tc>
        <w:tc>
          <w:tcPr>
            <w:tcW w:w="416" w:type="dxa"/>
            <w:vMerge w:val="continue"/>
            <w:vAlign w:val="center"/>
          </w:tcPr>
          <w:p>
            <w:pPr>
              <w:jc w:val="both"/>
              <w:rPr>
                <w:rFonts w:hint="default" w:ascii="Times New Roman" w:hAnsi="Times New Roman" w:eastAsia="宋体" w:cs="Times New Roman"/>
                <w:sz w:val="28"/>
                <w:szCs w:val="28"/>
                <w:lang w:eastAsia="zh-CN"/>
              </w:rPr>
            </w:pPr>
          </w:p>
        </w:tc>
      </w:tr>
    </w:tbl>
    <w:p>
      <w:pPr>
        <w:widowControl/>
        <w:autoSpaceDE/>
        <w:autoSpaceDN/>
        <w:rPr>
          <w:rFonts w:hint="default" w:ascii="Times New Roman" w:hAnsi="Times New Roman" w:eastAsia="宋体" w:cs="Times New Roman"/>
          <w:b/>
          <w:sz w:val="24"/>
          <w:szCs w:val="24"/>
          <w:lang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sz w:val="24"/>
          <w:szCs w:val="24"/>
          <w:lang w:eastAsia="zh-CN"/>
        </w:rPr>
        <w:br w:type="page"/>
      </w:r>
    </w:p>
    <w:p>
      <w:pPr>
        <w:spacing w:line="386" w:lineRule="exact"/>
        <w:rPr>
          <w:rFonts w:hint="default" w:ascii="Times New Roman" w:hAnsi="Times New Roman" w:eastAsia="宋体" w:cs="Times New Roman"/>
          <w:sz w:val="28"/>
          <w:szCs w:val="28"/>
        </w:rPr>
      </w:pPr>
      <w:r>
        <w:rPr>
          <w:rFonts w:hint="default" w:ascii="Times New Roman" w:hAnsi="Times New Roman" w:eastAsia="宋体" w:cs="Times New Roman"/>
          <w:b/>
          <w:sz w:val="28"/>
          <w:szCs w:val="28"/>
        </w:rPr>
        <w:t>表一</w:t>
      </w:r>
    </w:p>
    <w:tbl>
      <w:tblPr>
        <w:tblStyle w:val="19"/>
        <w:tblW w:w="91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55"/>
        <w:gridCol w:w="2774"/>
        <w:gridCol w:w="1830"/>
        <w:gridCol w:w="639"/>
        <w:gridCol w:w="1113"/>
        <w:gridCol w:w="1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建设项目名称</w:t>
            </w:r>
          </w:p>
        </w:tc>
        <w:tc>
          <w:tcPr>
            <w:tcW w:w="7639" w:type="dxa"/>
            <w:gridSpan w:val="5"/>
            <w:vAlign w:val="center"/>
          </w:tcPr>
          <w:p>
            <w:pPr>
              <w:spacing w:line="360" w:lineRule="auto"/>
              <w:ind w:left="2280" w:hanging="2280" w:hangingChars="95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sz w:val="24"/>
                <w:szCs w:val="24"/>
                <w:lang w:val="en-US" w:eastAsia="zh-CN"/>
              </w:rPr>
              <w:t>年产5000吨中量元素肥料生产线技改项目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建设单位名称</w:t>
            </w:r>
          </w:p>
        </w:tc>
        <w:tc>
          <w:tcPr>
            <w:tcW w:w="7639" w:type="dxa"/>
            <w:gridSpan w:val="5"/>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sz w:val="24"/>
                <w:szCs w:val="24"/>
                <w:lang w:val="en-US" w:eastAsia="zh-CN"/>
              </w:rPr>
              <w:t>岳阳市康源邦尔生物技术有限责任公司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建设项目性质</w:t>
            </w:r>
          </w:p>
        </w:tc>
        <w:tc>
          <w:tcPr>
            <w:tcW w:w="7639" w:type="dxa"/>
            <w:gridSpan w:val="5"/>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建设地点</w:t>
            </w:r>
          </w:p>
        </w:tc>
        <w:tc>
          <w:tcPr>
            <w:tcW w:w="7639" w:type="dxa"/>
            <w:gridSpan w:val="5"/>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auto"/>
                <w:kern w:val="0"/>
                <w:sz w:val="24"/>
                <w:szCs w:val="22"/>
                <w:u w:val="none" w:color="auto"/>
                <w:lang w:val="en-US" w:eastAsia="zh-CN" w:bidi="ar-SA"/>
              </w:rPr>
              <w:t>湖南省岳阳市云溪区岳阳绿色化工产业园吴家垄路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设计生产能力</w:t>
            </w:r>
          </w:p>
        </w:tc>
        <w:tc>
          <w:tcPr>
            <w:tcW w:w="7639" w:type="dxa"/>
            <w:gridSpan w:val="5"/>
            <w:vAlign w:val="center"/>
          </w:tcPr>
          <w:p>
            <w:pPr>
              <w:pStyle w:val="1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sz w:val="24"/>
                <w:szCs w:val="24"/>
                <w:lang w:val="en-US" w:eastAsia="zh-CN"/>
              </w:rPr>
              <w:t>年产5000吨中量元素肥料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实际生产能力</w:t>
            </w:r>
          </w:p>
        </w:tc>
        <w:tc>
          <w:tcPr>
            <w:tcW w:w="7639" w:type="dxa"/>
            <w:gridSpan w:val="5"/>
            <w:vAlign w:val="center"/>
          </w:tcPr>
          <w:p>
            <w:pPr>
              <w:pStyle w:val="1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sz w:val="24"/>
                <w:szCs w:val="24"/>
                <w:lang w:val="en-US" w:eastAsia="zh-CN"/>
              </w:rPr>
              <w:t>年产5000吨中量元素肥料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建设项目环评时间</w:t>
            </w:r>
          </w:p>
        </w:tc>
        <w:tc>
          <w:tcPr>
            <w:tcW w:w="2774"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202</w:t>
            </w:r>
            <w:r>
              <w:rPr>
                <w:rFonts w:hint="eastAsia" w:cs="Times New Roman"/>
                <w:color w:val="auto"/>
                <w:sz w:val="24"/>
                <w:szCs w:val="24"/>
                <w:lang w:val="en-US" w:eastAsia="zh-CN"/>
              </w:rPr>
              <w:t>1</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8</w:t>
            </w:r>
          </w:p>
        </w:tc>
        <w:tc>
          <w:tcPr>
            <w:tcW w:w="1830"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开工建设时间</w:t>
            </w:r>
          </w:p>
        </w:tc>
        <w:tc>
          <w:tcPr>
            <w:tcW w:w="3035" w:type="dxa"/>
            <w:gridSpan w:val="3"/>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调试时间</w:t>
            </w:r>
          </w:p>
        </w:tc>
        <w:tc>
          <w:tcPr>
            <w:tcW w:w="2774"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20</w:t>
            </w:r>
            <w:r>
              <w:rPr>
                <w:rFonts w:hint="eastAsia" w:cs="Times New Roman"/>
                <w:color w:val="auto"/>
                <w:sz w:val="24"/>
                <w:szCs w:val="24"/>
                <w:lang w:val="en-US" w:eastAsia="zh-CN"/>
              </w:rPr>
              <w:t>21.10</w:t>
            </w:r>
          </w:p>
        </w:tc>
        <w:tc>
          <w:tcPr>
            <w:tcW w:w="1830"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验收现场监测时间</w:t>
            </w:r>
          </w:p>
        </w:tc>
        <w:tc>
          <w:tcPr>
            <w:tcW w:w="3035" w:type="dxa"/>
            <w:gridSpan w:val="3"/>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2021.10.27-2021.10.28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ind w:hanging="104"/>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环评报告</w:t>
            </w:r>
          </w:p>
          <w:p>
            <w:pPr>
              <w:pStyle w:val="35"/>
              <w:keepNext w:val="0"/>
              <w:keepLines w:val="0"/>
              <w:pageBreakBefore w:val="0"/>
              <w:widowControl w:val="0"/>
              <w:kinsoku/>
              <w:wordWrap/>
              <w:overflowPunct/>
              <w:topLinePunct w:val="0"/>
              <w:bidi w:val="0"/>
              <w:adjustRightInd/>
              <w:snapToGrid/>
              <w:spacing w:line="240" w:lineRule="auto"/>
              <w:ind w:hanging="104"/>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审批部门</w:t>
            </w:r>
          </w:p>
        </w:tc>
        <w:tc>
          <w:tcPr>
            <w:tcW w:w="2774"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岳阳市生态环境局</w:t>
            </w:r>
            <w:r>
              <w:rPr>
                <w:rFonts w:hint="eastAsia" w:cs="Times New Roman"/>
                <w:color w:val="000000" w:themeColor="text1"/>
                <w:sz w:val="24"/>
                <w:szCs w:val="24"/>
                <w:lang w:eastAsia="zh-CN"/>
                <w14:textFill>
                  <w14:solidFill>
                    <w14:schemeClr w14:val="tx1"/>
                  </w14:solidFill>
                </w14:textFill>
              </w:rPr>
              <w:t>云溪分局</w:t>
            </w:r>
          </w:p>
        </w:tc>
        <w:tc>
          <w:tcPr>
            <w:tcW w:w="1830"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环评</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报告</w:t>
            </w:r>
          </w:p>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编制单位</w:t>
            </w:r>
          </w:p>
        </w:tc>
        <w:tc>
          <w:tcPr>
            <w:tcW w:w="3035" w:type="dxa"/>
            <w:gridSpan w:val="3"/>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湖南衡润科技有限公司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环保设施设计</w:t>
            </w:r>
          </w:p>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单位</w:t>
            </w:r>
          </w:p>
        </w:tc>
        <w:tc>
          <w:tcPr>
            <w:tcW w:w="2774"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sz w:val="24"/>
                <w:szCs w:val="24"/>
                <w:lang w:val="en-US" w:eastAsia="zh-CN"/>
              </w:rPr>
              <w:t>岳阳市康源邦尔生物技术有限责任公司</w:t>
            </w:r>
          </w:p>
        </w:tc>
        <w:tc>
          <w:tcPr>
            <w:tcW w:w="1830"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环保设施施工单位</w:t>
            </w:r>
          </w:p>
        </w:tc>
        <w:tc>
          <w:tcPr>
            <w:tcW w:w="3035" w:type="dxa"/>
            <w:gridSpan w:val="3"/>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sz w:val="24"/>
                <w:szCs w:val="24"/>
                <w:lang w:val="en-US" w:eastAsia="zh-CN"/>
              </w:rPr>
              <w:t>岳阳市康源邦尔生物技术有限责任公司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投资总概算</w:t>
            </w:r>
          </w:p>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2774"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highlight w:val="none"/>
                <w:u w:val="none" w:color="auto"/>
                <w:lang w:val="en-US" w:eastAsia="zh-CN"/>
                <w14:textFill>
                  <w14:solidFill>
                    <w14:schemeClr w14:val="tx1"/>
                  </w14:solidFill>
                </w14:textFill>
              </w:rPr>
              <w:t>650</w:t>
            </w:r>
          </w:p>
        </w:tc>
        <w:tc>
          <w:tcPr>
            <w:tcW w:w="1830"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环保投资总概算</w:t>
            </w:r>
          </w:p>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639"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20</w:t>
            </w:r>
          </w:p>
        </w:tc>
        <w:tc>
          <w:tcPr>
            <w:tcW w:w="1113"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比例</w:t>
            </w:r>
          </w:p>
        </w:tc>
        <w:tc>
          <w:tcPr>
            <w:tcW w:w="1283"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3.08</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实际总概算</w:t>
            </w:r>
          </w:p>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2774"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650</w:t>
            </w:r>
          </w:p>
        </w:tc>
        <w:tc>
          <w:tcPr>
            <w:tcW w:w="1830"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环保投资</w:t>
            </w:r>
          </w:p>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（万元）</w:t>
            </w:r>
          </w:p>
        </w:tc>
        <w:tc>
          <w:tcPr>
            <w:tcW w:w="639"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20</w:t>
            </w:r>
          </w:p>
        </w:tc>
        <w:tc>
          <w:tcPr>
            <w:tcW w:w="1113"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比例</w:t>
            </w:r>
          </w:p>
        </w:tc>
        <w:tc>
          <w:tcPr>
            <w:tcW w:w="1283"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3.08</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1"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ind w:right="16"/>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639" w:type="dxa"/>
            <w:gridSpan w:val="5"/>
            <w:vAlign w:val="center"/>
          </w:tcPr>
          <w:p>
            <w:pPr>
              <w:keepNext w:val="0"/>
              <w:keepLines w:val="0"/>
              <w:pageBreakBefore w:val="0"/>
              <w:widowControl w:val="0"/>
              <w:kinsoku/>
              <w:wordWrap/>
              <w:overflowPunct/>
              <w:topLinePunct w:val="0"/>
              <w:bidi w:val="0"/>
              <w:adjustRightInd/>
              <w:snapToGrid/>
              <w:spacing w:line="360" w:lineRule="auto"/>
              <w:ind w:firstLine="560" w:firstLineChars="20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（1）《建设项目环境保护管理条例》，中华人民共和国国务院令第682号，2017年10月1日；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（2）《建设项目竣工环境保护验收暂行办法》，国环规环评〔2017〕4号令；</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（3）《建设项目竣工环境保护验收技术指南 污染影响类》生态环保部办公厅2018年5月16日印发；</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（4）《中华人民共和国水污染防治法》，2018年1月1日；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（5）《中华人民共和国大气污染防治法》，2018年10月26日；</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（6）《中华人民共和国环境噪声污染防治法》，2018年12月29日；</w:t>
            </w:r>
          </w:p>
          <w:p>
            <w:pPr>
              <w:pStyle w:val="2"/>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lang w:val="en-US" w:eastAsia="zh-CN"/>
              </w:rPr>
            </w:pPr>
            <w:r>
              <w:rPr>
                <w:rFonts w:hint="eastAsia" w:cs="Times New Roman"/>
                <w:color w:val="auto"/>
                <w:sz w:val="28"/>
                <w:szCs w:val="28"/>
                <w:lang w:eastAsia="zh-CN"/>
              </w:rPr>
              <w:t>（</w:t>
            </w:r>
            <w:r>
              <w:rPr>
                <w:rFonts w:hint="eastAsia" w:cs="Times New Roman"/>
                <w:color w:val="auto"/>
                <w:sz w:val="28"/>
                <w:szCs w:val="28"/>
                <w:lang w:val="en-US" w:eastAsia="zh-CN"/>
              </w:rPr>
              <w:t>7</w:t>
            </w:r>
            <w:r>
              <w:rPr>
                <w:rFonts w:hint="eastAsia" w:cs="Times New Roman"/>
                <w:color w:val="auto"/>
                <w:sz w:val="28"/>
                <w:szCs w:val="28"/>
                <w:lang w:eastAsia="zh-CN"/>
              </w:rPr>
              <w:t>）</w:t>
            </w:r>
            <w:r>
              <w:rPr>
                <w:rFonts w:hint="default" w:ascii="Times New Roman" w:hAnsi="Times New Roman" w:eastAsia="宋体" w:cs="Times New Roman"/>
                <w:color w:val="auto"/>
                <w:sz w:val="28"/>
                <w:szCs w:val="28"/>
                <w:lang w:val="en-US" w:eastAsia="zh-CN"/>
              </w:rPr>
              <w:t>《</w:t>
            </w:r>
            <w:r>
              <w:rPr>
                <w:rFonts w:hint="eastAsia" w:ascii="Times New Roman" w:eastAsia="宋体" w:cs="Times New Roman"/>
                <w:color w:val="auto"/>
                <w:sz w:val="28"/>
                <w:szCs w:val="28"/>
                <w:lang w:val="en-US" w:eastAsia="zh-CN"/>
              </w:rPr>
              <w:t>污染影响类建设项目重大变动清单</w:t>
            </w:r>
            <w:r>
              <w:rPr>
                <w:rFonts w:hint="default" w:ascii="Times New Roman" w:hAnsi="Times New Roman" w:eastAsia="宋体" w:cs="Times New Roman"/>
                <w:color w:val="auto"/>
                <w:sz w:val="28"/>
                <w:szCs w:val="28"/>
                <w:lang w:val="en-US" w:eastAsia="zh-CN"/>
              </w:rPr>
              <w:t>》</w:t>
            </w:r>
            <w:r>
              <w:rPr>
                <w:rFonts w:hint="eastAsia" w:ascii="Times New Roman" w:eastAsia="宋体" w:cs="Times New Roman"/>
                <w:color w:val="auto"/>
                <w:sz w:val="28"/>
                <w:szCs w:val="28"/>
                <w:lang w:val="en-US" w:eastAsia="zh-CN"/>
              </w:rPr>
              <w:t>（环办环评函（2020）688号）</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w:t>
            </w:r>
            <w:r>
              <w:rPr>
                <w:rFonts w:hint="eastAsia" w:cs="Times New Roman"/>
                <w:color w:val="auto"/>
                <w:sz w:val="28"/>
                <w:szCs w:val="28"/>
                <w:lang w:val="en-US" w:eastAsia="zh-CN"/>
              </w:rPr>
              <w:t>8</w:t>
            </w:r>
            <w:r>
              <w:rPr>
                <w:rFonts w:hint="default" w:ascii="Times New Roman" w:hAnsi="Times New Roman" w:eastAsia="宋体" w:cs="Times New Roman"/>
                <w:color w:val="auto"/>
                <w:sz w:val="28"/>
                <w:szCs w:val="28"/>
                <w:lang w:val="en-US" w:eastAsia="zh-CN"/>
              </w:rPr>
              <w:t>）《</w:t>
            </w:r>
            <w:r>
              <w:rPr>
                <w:rFonts w:hint="eastAsia" w:cs="Times New Roman"/>
                <w:color w:val="auto"/>
                <w:sz w:val="28"/>
                <w:szCs w:val="28"/>
                <w:lang w:val="en-US" w:eastAsia="zh-CN"/>
              </w:rPr>
              <w:t>年产5000吨中量元素肥料生产线技改项目</w:t>
            </w:r>
            <w:r>
              <w:rPr>
                <w:rFonts w:hint="default" w:ascii="Times New Roman" w:hAnsi="Times New Roman" w:eastAsia="宋体" w:cs="Times New Roman"/>
                <w:color w:val="auto"/>
                <w:sz w:val="28"/>
                <w:szCs w:val="28"/>
                <w:lang w:val="en-US" w:eastAsia="zh-CN"/>
              </w:rPr>
              <w:t>环境影响报告表》，</w:t>
            </w:r>
            <w:r>
              <w:rPr>
                <w:rFonts w:hint="eastAsia" w:ascii="Times New Roman" w:hAnsi="Times New Roman" w:eastAsia="宋体" w:cs="Times New Roman"/>
                <w:color w:val="auto"/>
                <w:sz w:val="28"/>
                <w:szCs w:val="28"/>
                <w:lang w:val="en-US" w:eastAsia="zh-CN"/>
              </w:rPr>
              <w:t>湖南</w:t>
            </w:r>
            <w:r>
              <w:rPr>
                <w:rFonts w:hint="eastAsia" w:cs="Times New Roman"/>
                <w:color w:val="auto"/>
                <w:sz w:val="28"/>
                <w:szCs w:val="28"/>
                <w:lang w:val="en-US" w:eastAsia="zh-CN"/>
              </w:rPr>
              <w:t>衡润科技</w:t>
            </w:r>
            <w:r>
              <w:rPr>
                <w:rFonts w:hint="default" w:ascii="Times New Roman" w:hAnsi="Times New Roman" w:eastAsia="宋体" w:cs="Times New Roman"/>
                <w:color w:val="auto"/>
                <w:sz w:val="28"/>
                <w:szCs w:val="28"/>
                <w:lang w:val="en-US" w:eastAsia="zh-CN"/>
              </w:rPr>
              <w:t>有限公司，20</w:t>
            </w:r>
            <w:r>
              <w:rPr>
                <w:rFonts w:hint="eastAsia" w:ascii="Times New Roman" w:hAnsi="Times New Roman" w:eastAsia="宋体" w:cs="Times New Roman"/>
                <w:color w:val="auto"/>
                <w:sz w:val="28"/>
                <w:szCs w:val="28"/>
                <w:lang w:val="en-US" w:eastAsia="zh-CN"/>
              </w:rPr>
              <w:t>2</w:t>
            </w:r>
            <w:r>
              <w:rPr>
                <w:rFonts w:hint="eastAsia" w:cs="Times New Roman"/>
                <w:color w:val="auto"/>
                <w:sz w:val="28"/>
                <w:szCs w:val="28"/>
                <w:lang w:val="en-US" w:eastAsia="zh-CN"/>
              </w:rPr>
              <w:t>1</w:t>
            </w:r>
            <w:r>
              <w:rPr>
                <w:rFonts w:hint="default" w:ascii="Times New Roman" w:hAnsi="Times New Roman" w:eastAsia="宋体" w:cs="Times New Roman"/>
                <w:color w:val="auto"/>
                <w:sz w:val="28"/>
                <w:szCs w:val="28"/>
                <w:lang w:val="en-US" w:eastAsia="zh-CN"/>
              </w:rPr>
              <w:t>年</w:t>
            </w:r>
            <w:r>
              <w:rPr>
                <w:rFonts w:hint="eastAsia" w:cs="Times New Roman"/>
                <w:color w:val="auto"/>
                <w:sz w:val="28"/>
                <w:szCs w:val="28"/>
                <w:lang w:val="en-US" w:eastAsia="zh-CN"/>
              </w:rPr>
              <w:t>8</w:t>
            </w:r>
            <w:r>
              <w:rPr>
                <w:rFonts w:hint="default" w:ascii="Times New Roman" w:hAnsi="Times New Roman" w:eastAsia="宋体" w:cs="Times New Roman"/>
                <w:color w:val="auto"/>
                <w:sz w:val="28"/>
                <w:szCs w:val="28"/>
                <w:lang w:val="en-US" w:eastAsia="zh-CN"/>
              </w:rPr>
              <w:t>月；</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t>（</w:t>
            </w:r>
            <w:r>
              <w:rPr>
                <w:rFonts w:hint="eastAsia" w:cs="Times New Roman"/>
                <w:color w:val="auto"/>
                <w:sz w:val="28"/>
                <w:szCs w:val="28"/>
                <w:lang w:val="en-US" w:eastAsia="zh-CN"/>
              </w:rPr>
              <w:t>9</w:t>
            </w:r>
            <w:r>
              <w:rPr>
                <w:rFonts w:hint="default" w:ascii="Times New Roman" w:hAnsi="Times New Roman" w:eastAsia="宋体" w:cs="Times New Roman"/>
                <w:color w:val="auto"/>
                <w:sz w:val="28"/>
                <w:szCs w:val="28"/>
                <w:lang w:eastAsia="zh-CN"/>
              </w:rPr>
              <w:t>）《关于</w:t>
            </w:r>
            <w:r>
              <w:rPr>
                <w:rFonts w:hint="eastAsia" w:cs="Times New Roman"/>
                <w:color w:val="auto"/>
                <w:sz w:val="28"/>
                <w:szCs w:val="28"/>
                <w:lang w:val="en-US" w:eastAsia="zh-CN"/>
              </w:rPr>
              <w:t>年产5000吨中量元素肥料生产线技改项目</w:t>
            </w:r>
            <w:r>
              <w:rPr>
                <w:rFonts w:hint="default" w:ascii="Times New Roman" w:hAnsi="Times New Roman" w:eastAsia="宋体" w:cs="Times New Roman"/>
                <w:color w:val="auto"/>
                <w:sz w:val="28"/>
                <w:szCs w:val="28"/>
                <w:lang w:eastAsia="zh-CN"/>
              </w:rPr>
              <w:t>环境影响报告表的批复》，岳</w:t>
            </w:r>
            <w:r>
              <w:rPr>
                <w:rFonts w:hint="eastAsia" w:cs="Times New Roman"/>
                <w:color w:val="auto"/>
                <w:sz w:val="28"/>
                <w:szCs w:val="28"/>
                <w:lang w:eastAsia="zh-CN"/>
              </w:rPr>
              <w:t>云</w:t>
            </w:r>
            <w:r>
              <w:rPr>
                <w:rFonts w:hint="default" w:ascii="Times New Roman" w:hAnsi="Times New Roman" w:eastAsia="宋体" w:cs="Times New Roman"/>
                <w:color w:val="auto"/>
                <w:sz w:val="28"/>
                <w:szCs w:val="28"/>
                <w:lang w:eastAsia="zh-CN"/>
              </w:rPr>
              <w:t>环评〔20</w:t>
            </w:r>
            <w:r>
              <w:rPr>
                <w:rFonts w:hint="default" w:ascii="Times New Roman" w:hAnsi="Times New Roman" w:eastAsia="宋体" w:cs="Times New Roman"/>
                <w:color w:val="auto"/>
                <w:sz w:val="28"/>
                <w:szCs w:val="28"/>
                <w:lang w:val="en-US" w:eastAsia="zh-CN"/>
              </w:rPr>
              <w:t>2</w:t>
            </w:r>
            <w:r>
              <w:rPr>
                <w:rFonts w:hint="eastAsia" w:cs="Times New Roman"/>
                <w:color w:val="auto"/>
                <w:sz w:val="28"/>
                <w:szCs w:val="28"/>
                <w:lang w:val="en-US" w:eastAsia="zh-CN"/>
              </w:rPr>
              <w:t>1</w:t>
            </w:r>
            <w:r>
              <w:rPr>
                <w:rFonts w:hint="default" w:ascii="Times New Roman" w:hAnsi="Times New Roman" w:eastAsia="宋体" w:cs="Times New Roman"/>
                <w:color w:val="auto"/>
                <w:sz w:val="28"/>
                <w:szCs w:val="28"/>
                <w:lang w:eastAsia="zh-CN"/>
              </w:rPr>
              <w:t>〕</w:t>
            </w:r>
            <w:r>
              <w:rPr>
                <w:rFonts w:hint="eastAsia" w:cs="Times New Roman"/>
                <w:color w:val="auto"/>
                <w:sz w:val="28"/>
                <w:szCs w:val="28"/>
                <w:lang w:val="en-US" w:eastAsia="zh-CN"/>
              </w:rPr>
              <w:t>2</w:t>
            </w:r>
            <w:r>
              <w:rPr>
                <w:rFonts w:hint="default" w:ascii="Times New Roman" w:hAnsi="Times New Roman" w:eastAsia="宋体" w:cs="Times New Roman"/>
                <w:color w:val="auto"/>
                <w:sz w:val="28"/>
                <w:szCs w:val="28"/>
                <w:lang w:eastAsia="zh-CN"/>
              </w:rPr>
              <w:t>号，20</w:t>
            </w:r>
            <w:r>
              <w:rPr>
                <w:rFonts w:hint="default" w:ascii="Times New Roman" w:hAnsi="Times New Roman" w:eastAsia="宋体" w:cs="Times New Roman"/>
                <w:color w:val="auto"/>
                <w:sz w:val="28"/>
                <w:szCs w:val="28"/>
                <w:lang w:val="en-US" w:eastAsia="zh-CN"/>
              </w:rPr>
              <w:t>2</w:t>
            </w:r>
            <w:r>
              <w:rPr>
                <w:rFonts w:hint="eastAsia" w:cs="Times New Roman"/>
                <w:color w:val="auto"/>
                <w:sz w:val="28"/>
                <w:szCs w:val="28"/>
                <w:lang w:val="en-US" w:eastAsia="zh-CN"/>
              </w:rPr>
              <w:t>1</w:t>
            </w:r>
            <w:r>
              <w:rPr>
                <w:rFonts w:hint="default" w:ascii="Times New Roman" w:hAnsi="Times New Roman" w:eastAsia="宋体" w:cs="Times New Roman"/>
                <w:color w:val="auto"/>
                <w:sz w:val="28"/>
                <w:szCs w:val="28"/>
                <w:lang w:eastAsia="zh-CN"/>
              </w:rPr>
              <w:t>年</w:t>
            </w:r>
            <w:r>
              <w:rPr>
                <w:rFonts w:hint="eastAsia" w:cs="Times New Roman"/>
                <w:color w:val="auto"/>
                <w:sz w:val="28"/>
                <w:szCs w:val="28"/>
                <w:lang w:val="en-US" w:eastAsia="zh-CN"/>
              </w:rPr>
              <w:t>8</w:t>
            </w:r>
            <w:r>
              <w:rPr>
                <w:rFonts w:hint="default" w:ascii="Times New Roman" w:hAnsi="Times New Roman" w:eastAsia="宋体" w:cs="Times New Roman"/>
                <w:color w:val="auto"/>
                <w:sz w:val="28"/>
                <w:szCs w:val="28"/>
                <w:lang w:eastAsia="zh-CN"/>
              </w:rPr>
              <w:t>月</w:t>
            </w:r>
            <w:r>
              <w:rPr>
                <w:rFonts w:hint="eastAsia" w:cs="Times New Roman"/>
                <w:color w:val="auto"/>
                <w:sz w:val="28"/>
                <w:szCs w:val="28"/>
                <w:lang w:val="en-US" w:eastAsia="zh-CN"/>
              </w:rPr>
              <w:t>25</w:t>
            </w:r>
            <w:r>
              <w:rPr>
                <w:rFonts w:hint="default" w:ascii="Times New Roman" w:hAnsi="Times New Roman" w:eastAsia="宋体" w:cs="Times New Roman"/>
                <w:color w:val="auto"/>
                <w:sz w:val="28"/>
                <w:szCs w:val="28"/>
                <w:lang w:eastAsia="zh-CN"/>
              </w:rPr>
              <w:t>日。</w:t>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r>
              <w:rPr>
                <w:rFonts w:hint="default" w:ascii="Times New Roman" w:hAnsi="Times New Roman" w:eastAsia="宋体" w:cs="Times New Roman"/>
                <w:color w:val="auto"/>
                <w:sz w:val="28"/>
                <w:szCs w:val="28"/>
                <w:lang w:eastAsia="zh-CN"/>
              </w:rPr>
              <w:br w:type="textWrapp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3" w:hRule="atLeast"/>
          <w:jc w:val="center"/>
        </w:trPr>
        <w:tc>
          <w:tcPr>
            <w:tcW w:w="1555" w:type="dxa"/>
            <w:vAlign w:val="center"/>
          </w:tcPr>
          <w:p>
            <w:pPr>
              <w:pStyle w:val="35"/>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验收监测评价标准、级别、限值</w:t>
            </w:r>
          </w:p>
        </w:tc>
        <w:tc>
          <w:tcPr>
            <w:tcW w:w="7639" w:type="dxa"/>
            <w:gridSpan w:val="5"/>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8"/>
                <w:szCs w:val="28"/>
                <w:lang w:eastAsia="zh-CN"/>
              </w:rPr>
            </w:pPr>
            <w:r>
              <w:rPr>
                <w:rFonts w:hint="eastAsia" w:cs="Times New Roman"/>
                <w:b/>
                <w:bCs/>
                <w:color w:val="auto"/>
                <w:sz w:val="28"/>
                <w:szCs w:val="28"/>
                <w:lang w:eastAsia="zh-CN"/>
              </w:rPr>
              <w:t>一</w:t>
            </w:r>
            <w:r>
              <w:rPr>
                <w:rFonts w:hint="default" w:ascii="Times New Roman" w:hAnsi="Times New Roman" w:eastAsia="宋体" w:cs="Times New Roman"/>
                <w:b/>
                <w:bCs/>
                <w:color w:val="auto"/>
                <w:sz w:val="28"/>
                <w:szCs w:val="28"/>
                <w:lang w:eastAsia="zh-CN"/>
              </w:rPr>
              <w:t>、验收监测污染物排放标准：</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项目生产是将原材料混合搅拌，在进料时会产生少量的废气，主要污染物为颗粒物。项目不新增工作人员不新增生活废水，但本项目运营后会产生一定的生活污水。项目生产所用废水全部进入产品内，无生产废水外排。</w:t>
            </w:r>
            <w:r>
              <w:rPr>
                <w:rFonts w:hint="eastAsia" w:cs="Times New Roman"/>
                <w:color w:val="auto"/>
                <w:sz w:val="28"/>
                <w:szCs w:val="28"/>
                <w:lang w:eastAsia="zh-CN"/>
              </w:rPr>
              <w:t>本次验收监测主要对厂界无组织废气、生活污水、噪声进行监测，监测标准见下表。</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0"/>
              </w:rPr>
              <w:t>表</w:t>
            </w:r>
            <w:r>
              <w:rPr>
                <w:rFonts w:hint="eastAsia" w:cs="Times New Roman"/>
                <w:b/>
                <w:color w:val="auto"/>
                <w:sz w:val="21"/>
                <w:szCs w:val="20"/>
                <w:lang w:val="en-US" w:eastAsia="zh-CN"/>
              </w:rPr>
              <w:t>1</w:t>
            </w:r>
            <w:r>
              <w:rPr>
                <w:rFonts w:hint="default" w:ascii="Times New Roman" w:hAnsi="Times New Roman" w:eastAsia="宋体" w:cs="Times New Roman"/>
                <w:b/>
                <w:color w:val="auto"/>
                <w:sz w:val="21"/>
                <w:szCs w:val="20"/>
              </w:rPr>
              <w:t xml:space="preserve">  </w:t>
            </w:r>
            <w:r>
              <w:rPr>
                <w:rFonts w:hint="eastAsia" w:cs="Times New Roman"/>
                <w:b/>
                <w:color w:val="auto"/>
                <w:sz w:val="21"/>
                <w:szCs w:val="20"/>
                <w:lang w:eastAsia="zh-CN"/>
              </w:rPr>
              <w:t>验收评价</w:t>
            </w:r>
            <w:r>
              <w:rPr>
                <w:rFonts w:hint="default" w:ascii="Times New Roman" w:hAnsi="Times New Roman" w:eastAsia="宋体" w:cs="Times New Roman"/>
                <w:b/>
                <w:color w:val="auto"/>
                <w:sz w:val="21"/>
                <w:szCs w:val="20"/>
              </w:rPr>
              <w:t>标准一览表</w:t>
            </w:r>
          </w:p>
          <w:tbl>
            <w:tblPr>
              <w:tblStyle w:val="19"/>
              <w:tblpPr w:leftFromText="180" w:rightFromText="180" w:vertAnchor="text" w:horzAnchor="page" w:tblpX="1174" w:tblpY="134"/>
              <w:tblOverlap w:val="neve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autofit"/>
              <w:tblCellMar>
                <w:top w:w="0" w:type="dxa"/>
                <w:left w:w="108" w:type="dxa"/>
                <w:bottom w:w="0" w:type="dxa"/>
                <w:right w:w="108" w:type="dxa"/>
              </w:tblCellMar>
            </w:tblPr>
            <w:tblGrid>
              <w:gridCol w:w="459"/>
              <w:gridCol w:w="687"/>
              <w:gridCol w:w="2922"/>
              <w:gridCol w:w="1030"/>
              <w:gridCol w:w="1319"/>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atLeast"/>
              </w:trPr>
              <w:tc>
                <w:tcPr>
                  <w:tcW w:w="1146" w:type="dxa"/>
                  <w:gridSpan w:val="2"/>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kern w:val="2"/>
                      <w:sz w:val="21"/>
                      <w:szCs w:val="21"/>
                    </w:rPr>
                  </w:pPr>
                  <w:r>
                    <w:rPr>
                      <w:rFonts w:hint="default" w:ascii="Times New Roman" w:hAnsi="Times New Roman" w:eastAsia="宋体" w:cs="Times New Roman"/>
                      <w:b/>
                      <w:bCs w:val="0"/>
                      <w:kern w:val="2"/>
                      <w:sz w:val="21"/>
                      <w:szCs w:val="21"/>
                    </w:rPr>
                    <w:t>类别</w:t>
                  </w:r>
                </w:p>
              </w:tc>
              <w:tc>
                <w:tcPr>
                  <w:tcW w:w="2922" w:type="dxa"/>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kern w:val="2"/>
                      <w:sz w:val="21"/>
                      <w:szCs w:val="21"/>
                    </w:rPr>
                  </w:pPr>
                  <w:r>
                    <w:rPr>
                      <w:rFonts w:hint="default" w:ascii="Times New Roman" w:hAnsi="Times New Roman" w:eastAsia="宋体" w:cs="Times New Roman"/>
                      <w:b/>
                      <w:bCs w:val="0"/>
                      <w:kern w:val="2"/>
                      <w:sz w:val="21"/>
                      <w:szCs w:val="21"/>
                    </w:rPr>
                    <w:t>标准名称</w:t>
                  </w:r>
                </w:p>
              </w:tc>
              <w:tc>
                <w:tcPr>
                  <w:tcW w:w="1030" w:type="dxa"/>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kern w:val="2"/>
                      <w:sz w:val="21"/>
                      <w:szCs w:val="21"/>
                    </w:rPr>
                  </w:pPr>
                  <w:r>
                    <w:rPr>
                      <w:rFonts w:hint="default" w:ascii="Times New Roman" w:hAnsi="Times New Roman" w:eastAsia="宋体" w:cs="Times New Roman"/>
                      <w:b/>
                      <w:bCs w:val="0"/>
                      <w:kern w:val="2"/>
                      <w:sz w:val="21"/>
                      <w:szCs w:val="21"/>
                    </w:rPr>
                    <w:t>污染物</w:t>
                  </w:r>
                </w:p>
              </w:tc>
              <w:tc>
                <w:tcPr>
                  <w:tcW w:w="1319" w:type="dxa"/>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kern w:val="2"/>
                      <w:sz w:val="21"/>
                      <w:szCs w:val="21"/>
                      <w:vertAlign w:val="baseline"/>
                      <w:lang w:val="en-US" w:eastAsia="zh-CN"/>
                    </w:rPr>
                  </w:pPr>
                  <w:r>
                    <w:rPr>
                      <w:rFonts w:hint="default" w:ascii="Times New Roman" w:hAnsi="Times New Roman" w:eastAsia="宋体" w:cs="Times New Roman"/>
                      <w:b/>
                      <w:bCs w:val="0"/>
                      <w:kern w:val="2"/>
                      <w:sz w:val="21"/>
                      <w:szCs w:val="21"/>
                    </w:rPr>
                    <w:t>排放标准限值</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vertAlign w:val="baseline"/>
                      <w:lang w:val="en-US" w:eastAsia="zh-CN"/>
                    </w:rPr>
                    <w:t>）</w:t>
                  </w:r>
                </w:p>
              </w:tc>
              <w:tc>
                <w:tcPr>
                  <w:tcW w:w="0" w:type="auto"/>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kern w:val="2"/>
                      <w:sz w:val="21"/>
                      <w:szCs w:val="21"/>
                      <w:lang w:val="en-US" w:eastAsia="zh-CN"/>
                    </w:rPr>
                  </w:pPr>
                  <w:r>
                    <w:rPr>
                      <w:rFonts w:hint="default" w:ascii="Times New Roman" w:hAnsi="Times New Roman" w:eastAsia="宋体" w:cs="Times New Roman"/>
                      <w:b/>
                      <w:bCs w:val="0"/>
                      <w:kern w:val="2"/>
                      <w:sz w:val="21"/>
                      <w:szCs w:val="21"/>
                      <w:lang w:val="en-US" w:eastAsia="zh-CN"/>
                    </w:rPr>
                    <w:t>排放速率</w:t>
                  </w:r>
                  <w:r>
                    <w:rPr>
                      <w:rFonts w:hint="default" w:ascii="Times New Roman" w:hAnsi="Times New Roman" w:eastAsia="宋体" w:cs="Times New Roman"/>
                      <w:b/>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atLeast"/>
              </w:trPr>
              <w:tc>
                <w:tcPr>
                  <w:tcW w:w="459" w:type="dxa"/>
                  <w:vMerge w:val="restart"/>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eastAsia="zh-CN"/>
                    </w:rPr>
                    <w:t>废气</w:t>
                  </w:r>
                </w:p>
              </w:tc>
              <w:tc>
                <w:tcPr>
                  <w:tcW w:w="687" w:type="dxa"/>
                  <w:vMerge w:val="restart"/>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无组织废气</w:t>
                  </w:r>
                </w:p>
              </w:tc>
              <w:tc>
                <w:tcPr>
                  <w:tcW w:w="2922" w:type="dxa"/>
                  <w:vMerge w:val="restart"/>
                  <w:tcBorders>
                    <w:tl2br w:val="nil"/>
                    <w:tr2bl w:val="nil"/>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sz w:val="21"/>
                      <w:szCs w:val="21"/>
                      <w:lang w:val="en-US" w:eastAsia="zh-CN"/>
                    </w:rPr>
                    <w:t>《大气污染物综合排放标准》（GB16297-1996）中表2中的排放限值要求</w:t>
                  </w:r>
                </w:p>
              </w:tc>
              <w:tc>
                <w:tcPr>
                  <w:tcW w:w="1030" w:type="dxa"/>
                  <w:vMerge w:val="restart"/>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颗粒物</w:t>
                  </w:r>
                </w:p>
              </w:tc>
              <w:tc>
                <w:tcPr>
                  <w:tcW w:w="1319" w:type="dxa"/>
                  <w:vMerge w:val="restart"/>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1.0</w:t>
                  </w:r>
                </w:p>
              </w:tc>
              <w:tc>
                <w:tcPr>
                  <w:tcW w:w="0" w:type="auto"/>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atLeast"/>
              </w:trPr>
              <w:tc>
                <w:tcPr>
                  <w:tcW w:w="459"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rPr>
                  </w:pPr>
                </w:p>
              </w:tc>
              <w:tc>
                <w:tcPr>
                  <w:tcW w:w="687"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rPr>
                  </w:pPr>
                </w:p>
              </w:tc>
              <w:tc>
                <w:tcPr>
                  <w:tcW w:w="2922"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rPr>
                  </w:pPr>
                </w:p>
              </w:tc>
              <w:tc>
                <w:tcPr>
                  <w:tcW w:w="1030"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p>
              </w:tc>
              <w:tc>
                <w:tcPr>
                  <w:tcW w:w="1319"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p>
              </w:tc>
              <w:tc>
                <w:tcPr>
                  <w:tcW w:w="0" w:type="auto"/>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atLeast"/>
              </w:trPr>
              <w:tc>
                <w:tcPr>
                  <w:tcW w:w="459"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rPr>
                  </w:pPr>
                </w:p>
              </w:tc>
              <w:tc>
                <w:tcPr>
                  <w:tcW w:w="687"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rPr>
                  </w:pPr>
                </w:p>
              </w:tc>
              <w:tc>
                <w:tcPr>
                  <w:tcW w:w="2922"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rPr>
                  </w:pPr>
                </w:p>
              </w:tc>
              <w:tc>
                <w:tcPr>
                  <w:tcW w:w="1030"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p>
              </w:tc>
              <w:tc>
                <w:tcPr>
                  <w:tcW w:w="1319"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p>
              </w:tc>
              <w:tc>
                <w:tcPr>
                  <w:tcW w:w="0" w:type="auto"/>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90" w:hRule="atLeast"/>
              </w:trPr>
              <w:tc>
                <w:tcPr>
                  <w:tcW w:w="1146" w:type="dxa"/>
                  <w:gridSpan w:val="2"/>
                  <w:vMerge w:val="restart"/>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val="0"/>
                      <w:kern w:val="2"/>
                      <w:sz w:val="21"/>
                      <w:szCs w:val="21"/>
                      <w:lang w:eastAsia="zh-CN"/>
                    </w:rPr>
                  </w:pPr>
                  <w:r>
                    <w:rPr>
                      <w:rFonts w:hint="eastAsia" w:ascii="Times New Roman" w:hAnsi="Times New Roman" w:eastAsia="宋体" w:cs="Times New Roman"/>
                      <w:b/>
                      <w:bCs w:val="0"/>
                      <w:kern w:val="2"/>
                      <w:sz w:val="21"/>
                      <w:szCs w:val="21"/>
                      <w:lang w:eastAsia="zh-CN"/>
                    </w:rPr>
                    <w:t>生活污水</w:t>
                  </w:r>
                </w:p>
              </w:tc>
              <w:tc>
                <w:tcPr>
                  <w:tcW w:w="2922" w:type="dxa"/>
                  <w:vMerge w:val="restart"/>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sz w:val="21"/>
                      <w:szCs w:val="21"/>
                      <w:lang w:eastAsia="zh-CN"/>
                    </w:rPr>
                    <w:t>执行《污水综合排放标准》（</w:t>
                  </w:r>
                  <w:r>
                    <w:rPr>
                      <w:rFonts w:hint="default" w:ascii="Times New Roman" w:hAnsi="Times New Roman" w:eastAsia="宋体" w:cs="Times New Roman"/>
                      <w:sz w:val="21"/>
                      <w:szCs w:val="21"/>
                      <w:lang w:val="en-US" w:eastAsia="zh-CN"/>
                    </w:rPr>
                    <w:t>GB8978-1996</w:t>
                  </w: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4中的三级标准</w:t>
                  </w:r>
                </w:p>
              </w:tc>
              <w:tc>
                <w:tcPr>
                  <w:tcW w:w="1030"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p</w:t>
                  </w:r>
                  <w:r>
                    <w:rPr>
                      <w:rFonts w:hint="default" w:ascii="Times New Roman" w:hAnsi="Times New Roman" w:eastAsia="宋体" w:cs="Times New Roman"/>
                      <w:b w:val="0"/>
                      <w:bCs w:val="0"/>
                      <w:sz w:val="21"/>
                      <w:szCs w:val="21"/>
                      <w:lang w:val="en-US" w:eastAsia="zh-CN"/>
                    </w:rPr>
                    <w:t>H</w:t>
                  </w:r>
                </w:p>
              </w:tc>
              <w:tc>
                <w:tcPr>
                  <w:tcW w:w="1319"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0"/>
                      <w:sz w:val="21"/>
                      <w:szCs w:val="21"/>
                      <w:lang w:val="en-US"/>
                    </w:rPr>
                  </w:pPr>
                  <w:r>
                    <w:rPr>
                      <w:rFonts w:hint="default" w:ascii="Times New Roman" w:hAnsi="Times New Roman" w:eastAsia="宋体" w:cs="Times New Roman"/>
                      <w:b w:val="0"/>
                      <w:bCs w:val="0"/>
                      <w:snapToGrid w:val="0"/>
                      <w:sz w:val="21"/>
                      <w:szCs w:val="21"/>
                      <w:lang w:val="en-US" w:eastAsia="zh-CN"/>
                    </w:rPr>
                    <w:t>6~9</w:t>
                  </w:r>
                </w:p>
              </w:tc>
              <w:tc>
                <w:tcPr>
                  <w:tcW w:w="0" w:type="auto"/>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atLeast"/>
              </w:trPr>
              <w:tc>
                <w:tcPr>
                  <w:tcW w:w="1146" w:type="dxa"/>
                  <w:gridSpan w:val="2"/>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kern w:val="2"/>
                      <w:sz w:val="21"/>
                      <w:szCs w:val="21"/>
                    </w:rPr>
                  </w:pPr>
                </w:p>
              </w:tc>
              <w:tc>
                <w:tcPr>
                  <w:tcW w:w="2922"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rPr>
                  </w:pPr>
                </w:p>
              </w:tc>
              <w:tc>
                <w:tcPr>
                  <w:tcW w:w="1030"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COD</w:t>
                  </w:r>
                </w:p>
              </w:tc>
              <w:tc>
                <w:tcPr>
                  <w:tcW w:w="1319"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rPr>
                  </w:pPr>
                  <w:r>
                    <w:rPr>
                      <w:rFonts w:hint="default" w:ascii="Times New Roman" w:hAnsi="Times New Roman" w:eastAsia="宋体" w:cs="Times New Roman"/>
                      <w:b w:val="0"/>
                      <w:bCs w:val="0"/>
                      <w:snapToGrid w:val="0"/>
                      <w:sz w:val="21"/>
                      <w:szCs w:val="21"/>
                      <w:lang w:val="en-US" w:eastAsia="zh-CN"/>
                    </w:rPr>
                    <w:t>500mg/L</w:t>
                  </w:r>
                </w:p>
              </w:tc>
              <w:tc>
                <w:tcPr>
                  <w:tcW w:w="0" w:type="auto"/>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25" w:hRule="atLeast"/>
              </w:trPr>
              <w:tc>
                <w:tcPr>
                  <w:tcW w:w="1146" w:type="dxa"/>
                  <w:gridSpan w:val="2"/>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kern w:val="2"/>
                      <w:sz w:val="21"/>
                      <w:szCs w:val="21"/>
                    </w:rPr>
                  </w:pPr>
                </w:p>
              </w:tc>
              <w:tc>
                <w:tcPr>
                  <w:tcW w:w="2922"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rPr>
                  </w:pPr>
                </w:p>
              </w:tc>
              <w:tc>
                <w:tcPr>
                  <w:tcW w:w="1030"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SS</w:t>
                  </w:r>
                </w:p>
              </w:tc>
              <w:tc>
                <w:tcPr>
                  <w:tcW w:w="1319"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400mg/L</w:t>
                  </w:r>
                </w:p>
              </w:tc>
              <w:tc>
                <w:tcPr>
                  <w:tcW w:w="0" w:type="auto"/>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atLeast"/>
              </w:trPr>
              <w:tc>
                <w:tcPr>
                  <w:tcW w:w="1146" w:type="dxa"/>
                  <w:gridSpan w:val="2"/>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kern w:val="2"/>
                      <w:sz w:val="21"/>
                      <w:szCs w:val="21"/>
                    </w:rPr>
                  </w:pPr>
                </w:p>
              </w:tc>
              <w:tc>
                <w:tcPr>
                  <w:tcW w:w="2922"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rPr>
                  </w:pPr>
                </w:p>
              </w:tc>
              <w:tc>
                <w:tcPr>
                  <w:tcW w:w="1030"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氨氮</w:t>
                  </w:r>
                </w:p>
              </w:tc>
              <w:tc>
                <w:tcPr>
                  <w:tcW w:w="1319"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w:t>
                  </w:r>
                </w:p>
              </w:tc>
              <w:tc>
                <w:tcPr>
                  <w:tcW w:w="0" w:type="auto"/>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atLeast"/>
              </w:trPr>
              <w:tc>
                <w:tcPr>
                  <w:tcW w:w="1146" w:type="dxa"/>
                  <w:gridSpan w:val="2"/>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kern w:val="2"/>
                      <w:sz w:val="21"/>
                      <w:szCs w:val="21"/>
                    </w:rPr>
                  </w:pPr>
                </w:p>
              </w:tc>
              <w:tc>
                <w:tcPr>
                  <w:tcW w:w="2922" w:type="dxa"/>
                  <w:vMerge w:val="continue"/>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rPr>
                  </w:pPr>
                </w:p>
              </w:tc>
              <w:tc>
                <w:tcPr>
                  <w:tcW w:w="1030"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BOD</w:t>
                  </w:r>
                  <w:r>
                    <w:rPr>
                      <w:rFonts w:hint="default" w:ascii="Times New Roman" w:hAnsi="Times New Roman" w:eastAsia="宋体" w:cs="Times New Roman"/>
                      <w:b w:val="0"/>
                      <w:bCs w:val="0"/>
                      <w:snapToGrid w:val="0"/>
                      <w:sz w:val="21"/>
                      <w:szCs w:val="21"/>
                      <w:vertAlign w:val="subscript"/>
                      <w:lang w:val="en-US" w:eastAsia="zh-CN"/>
                    </w:rPr>
                    <w:t>5</w:t>
                  </w:r>
                </w:p>
              </w:tc>
              <w:tc>
                <w:tcPr>
                  <w:tcW w:w="1319"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300mg/L</w:t>
                  </w:r>
                </w:p>
              </w:tc>
              <w:tc>
                <w:tcPr>
                  <w:tcW w:w="0" w:type="auto"/>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454" w:hRule="atLeast"/>
              </w:trPr>
              <w:tc>
                <w:tcPr>
                  <w:tcW w:w="1146" w:type="dxa"/>
                  <w:gridSpan w:val="2"/>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rPr>
                    <w:t>噪声</w:t>
                  </w:r>
                </w:p>
              </w:tc>
              <w:tc>
                <w:tcPr>
                  <w:tcW w:w="2922" w:type="dxa"/>
                  <w:tcBorders>
                    <w:tl2br w:val="nil"/>
                    <w:tr2bl w:val="nil"/>
                  </w:tcBorders>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《工业企业厂界环境噪声排放标准》（GB 12348-2008）</w:t>
                  </w:r>
                  <w:r>
                    <w:rPr>
                      <w:rFonts w:hint="eastAsia" w:ascii="Times New Roman" w:hAnsi="Times New Roman" w:eastAsia="宋体" w:cs="Times New Roman"/>
                      <w:b w:val="0"/>
                      <w:bCs w:val="0"/>
                      <w:kern w:val="2"/>
                      <w:sz w:val="21"/>
                      <w:szCs w:val="21"/>
                      <w:lang w:val="en-US" w:eastAsia="zh-CN"/>
                    </w:rPr>
                    <w:t>3</w:t>
                  </w:r>
                  <w:r>
                    <w:rPr>
                      <w:rFonts w:hint="default" w:ascii="Times New Roman" w:hAnsi="Times New Roman" w:eastAsia="宋体" w:cs="Times New Roman"/>
                      <w:b w:val="0"/>
                      <w:bCs w:val="0"/>
                      <w:kern w:val="2"/>
                      <w:sz w:val="21"/>
                      <w:szCs w:val="21"/>
                    </w:rPr>
                    <w:t>类标准</w:t>
                  </w:r>
                </w:p>
              </w:tc>
              <w:tc>
                <w:tcPr>
                  <w:tcW w:w="10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等效连续A声级</w:t>
                  </w:r>
                </w:p>
              </w:tc>
              <w:tc>
                <w:tcPr>
                  <w:tcW w:w="1319" w:type="dxa"/>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rPr>
                  </w:pPr>
                  <w:r>
                    <w:rPr>
                      <w:rFonts w:hint="default" w:ascii="Times New Roman" w:hAnsi="Times New Roman" w:eastAsia="宋体" w:cs="Times New Roman"/>
                      <w:b w:val="0"/>
                      <w:bCs w:val="0"/>
                      <w:snapToGrid w:val="0"/>
                      <w:sz w:val="21"/>
                      <w:szCs w:val="21"/>
                    </w:rPr>
                    <w:t>昼间6</w:t>
                  </w:r>
                  <w:r>
                    <w:rPr>
                      <w:rFonts w:hint="eastAsia" w:cs="Times New Roman"/>
                      <w:b w:val="0"/>
                      <w:bCs w:val="0"/>
                      <w:snapToGrid w:val="0"/>
                      <w:sz w:val="21"/>
                      <w:szCs w:val="21"/>
                      <w:lang w:val="en-US" w:eastAsia="zh-CN"/>
                    </w:rPr>
                    <w:t>5</w:t>
                  </w:r>
                  <w:r>
                    <w:rPr>
                      <w:rFonts w:hint="default" w:ascii="Times New Roman" w:hAnsi="Times New Roman" w:eastAsia="宋体" w:cs="Times New Roman"/>
                      <w:b w:val="0"/>
                      <w:bCs w:val="0"/>
                      <w:sz w:val="21"/>
                      <w:szCs w:val="21"/>
                    </w:rPr>
                    <w:t>dB(A)</w:t>
                  </w:r>
                </w:p>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napToGrid w:val="0"/>
                      <w:sz w:val="21"/>
                      <w:szCs w:val="21"/>
                    </w:rPr>
                    <w:t>夜间5</w:t>
                  </w:r>
                  <w:r>
                    <w:rPr>
                      <w:rFonts w:hint="eastAsia" w:cs="Times New Roman"/>
                      <w:b w:val="0"/>
                      <w:bCs w:val="0"/>
                      <w:snapToGrid w:val="0"/>
                      <w:sz w:val="21"/>
                      <w:szCs w:val="21"/>
                      <w:lang w:val="en-US" w:eastAsia="zh-CN"/>
                    </w:rPr>
                    <w:t>5</w:t>
                  </w:r>
                  <w:r>
                    <w:rPr>
                      <w:rFonts w:hint="default" w:ascii="Times New Roman" w:hAnsi="Times New Roman" w:eastAsia="宋体" w:cs="Times New Roman"/>
                      <w:b w:val="0"/>
                      <w:bCs w:val="0"/>
                      <w:sz w:val="21"/>
                      <w:szCs w:val="21"/>
                    </w:rPr>
                    <w:t>dB(A)</w:t>
                  </w:r>
                </w:p>
              </w:tc>
              <w:tc>
                <w:tcPr>
                  <w:tcW w:w="0" w:type="auto"/>
                  <w:tcBorders>
                    <w:tl2br w:val="nil"/>
                    <w:tr2bl w:val="nil"/>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snapToGrid w:val="0"/>
                      <w:sz w:val="21"/>
                      <w:szCs w:val="21"/>
                      <w:lang w:val="en-US" w:eastAsia="zh-CN"/>
                    </w:rPr>
                  </w:pPr>
                  <w:r>
                    <w:rPr>
                      <w:rFonts w:hint="default" w:ascii="Times New Roman" w:hAnsi="Times New Roman" w:eastAsia="宋体" w:cs="Times New Roman"/>
                      <w:b w:val="0"/>
                      <w:bCs w:val="0"/>
                      <w:snapToGrid w:val="0"/>
                      <w:sz w:val="21"/>
                      <w:szCs w:val="21"/>
                      <w:lang w:val="en-US" w:eastAsia="zh-CN"/>
                    </w:rPr>
                    <w:t>/</w:t>
                  </w:r>
                </w:p>
              </w:tc>
            </w:tr>
          </w:tbl>
          <w:p>
            <w:pPr>
              <w:adjustRightInd w:val="0"/>
              <w:snapToGrid w:val="0"/>
              <w:spacing w:before="240"/>
              <w:jc w:val="both"/>
              <w:rPr>
                <w:rFonts w:hint="default" w:ascii="Times New Roman" w:hAnsi="Times New Roman" w:eastAsia="宋体" w:cs="Times New Roman"/>
                <w:b/>
                <w:color w:val="auto"/>
                <w:sz w:val="28"/>
                <w:szCs w:val="28"/>
              </w:rPr>
            </w:pPr>
            <w:r>
              <w:rPr>
                <w:rFonts w:hint="eastAsia" w:cs="Times New Roman"/>
                <w:b/>
                <w:color w:val="auto"/>
                <w:sz w:val="28"/>
                <w:szCs w:val="28"/>
                <w:lang w:eastAsia="zh-CN"/>
              </w:rPr>
              <w:t>二</w:t>
            </w:r>
            <w:r>
              <w:rPr>
                <w:rFonts w:hint="default" w:ascii="Times New Roman" w:hAnsi="Times New Roman" w:eastAsia="宋体" w:cs="Times New Roman"/>
                <w:b/>
                <w:color w:val="auto"/>
                <w:sz w:val="28"/>
                <w:szCs w:val="28"/>
                <w:lang w:eastAsia="zh-CN"/>
              </w:rPr>
              <w:t>、</w:t>
            </w:r>
            <w:r>
              <w:rPr>
                <w:rFonts w:hint="default" w:ascii="Times New Roman" w:hAnsi="Times New Roman" w:eastAsia="宋体" w:cs="Times New Roman"/>
                <w:b/>
                <w:color w:val="auto"/>
                <w:sz w:val="28"/>
                <w:szCs w:val="28"/>
              </w:rPr>
              <w:t>总量控制指标：</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sz w:val="28"/>
                <w:szCs w:val="28"/>
                <w:lang w:val="zh-CN" w:eastAsia="zh-CN"/>
              </w:rPr>
            </w:pPr>
            <w:r>
              <w:rPr>
                <w:rFonts w:hint="default" w:ascii="Times New Roman" w:hAnsi="Times New Roman" w:eastAsia="宋体" w:cs="Times New Roman"/>
                <w:color w:val="auto"/>
                <w:sz w:val="28"/>
                <w:szCs w:val="28"/>
                <w:lang w:val="zh-CN" w:eastAsia="zh-CN"/>
              </w:rPr>
              <w:t>1、本项目无生产废水外排</w:t>
            </w:r>
            <w:r>
              <w:rPr>
                <w:rFonts w:hint="eastAsia" w:ascii="Times New Roman" w:hAnsi="Times New Roman" w:eastAsia="宋体" w:cs="Times New Roman"/>
                <w:color w:val="auto"/>
                <w:sz w:val="28"/>
                <w:szCs w:val="28"/>
                <w:lang w:val="zh-CN" w:eastAsia="zh-CN"/>
              </w:rPr>
              <w:t>，</w:t>
            </w:r>
            <w:r>
              <w:rPr>
                <w:rFonts w:hint="default" w:ascii="Times New Roman" w:hAnsi="Times New Roman" w:eastAsia="宋体" w:cs="Times New Roman"/>
                <w:color w:val="auto"/>
                <w:sz w:val="28"/>
                <w:szCs w:val="28"/>
                <w:lang w:val="zh-CN" w:eastAsia="zh-CN"/>
              </w:rPr>
              <w:t>生活污水</w:t>
            </w:r>
            <w:r>
              <w:rPr>
                <w:rFonts w:hint="eastAsia" w:ascii="Times New Roman" w:hAnsi="Times New Roman" w:eastAsia="宋体" w:cs="Times New Roman"/>
                <w:color w:val="auto"/>
                <w:sz w:val="28"/>
                <w:szCs w:val="28"/>
                <w:lang w:val="zh-CN" w:eastAsia="zh-CN"/>
              </w:rPr>
              <w:t>亦无新增；项目无新增废水污染源。因此，本项目不新增国家环保规划中主要污染物总量指标，无总量控制指标</w:t>
            </w:r>
          </w:p>
          <w:p>
            <w:pPr>
              <w:keepNext w:val="0"/>
              <w:keepLines w:val="0"/>
              <w:pageBreakBefore w:val="0"/>
              <w:widowControl w:val="0"/>
              <w:kinsoku/>
              <w:wordWrap/>
              <w:overflowPunct/>
              <w:topLinePunct w:val="0"/>
              <w:bidi w:val="0"/>
              <w:adjustRightInd/>
              <w:snapToGrid/>
              <w:spacing w:line="360" w:lineRule="auto"/>
              <w:ind w:firstLine="480"/>
              <w:jc w:val="left"/>
              <w:textAlignment w:val="auto"/>
              <w:rPr>
                <w:rFonts w:hint="eastAsia"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zh-CN" w:eastAsia="zh-CN"/>
              </w:rPr>
              <w:t>2、本项目无NO</w:t>
            </w:r>
            <w:r>
              <w:rPr>
                <w:rFonts w:hint="default" w:ascii="Times New Roman" w:hAnsi="Times New Roman" w:eastAsia="宋体" w:cs="Times New Roman"/>
                <w:color w:val="auto"/>
                <w:sz w:val="28"/>
                <w:szCs w:val="28"/>
                <w:vertAlign w:val="subscript"/>
                <w:lang w:val="zh-CN" w:eastAsia="zh-CN"/>
              </w:rPr>
              <w:t>2</w:t>
            </w:r>
            <w:r>
              <w:rPr>
                <w:rFonts w:hint="default" w:ascii="Times New Roman" w:hAnsi="Times New Roman" w:eastAsia="宋体" w:cs="Times New Roman"/>
                <w:color w:val="auto"/>
                <w:sz w:val="28"/>
                <w:szCs w:val="28"/>
                <w:lang w:val="zh-CN" w:eastAsia="zh-CN"/>
              </w:rPr>
              <w:t>、SO</w:t>
            </w:r>
            <w:r>
              <w:rPr>
                <w:rFonts w:hint="default" w:ascii="Times New Roman" w:hAnsi="Times New Roman" w:eastAsia="宋体" w:cs="Times New Roman"/>
                <w:color w:val="auto"/>
                <w:sz w:val="28"/>
                <w:szCs w:val="28"/>
                <w:vertAlign w:val="subscript"/>
                <w:lang w:val="zh-CN" w:eastAsia="zh-CN"/>
              </w:rPr>
              <w:t>2</w:t>
            </w:r>
            <w:r>
              <w:rPr>
                <w:rFonts w:hint="default" w:ascii="Times New Roman" w:hAnsi="Times New Roman" w:eastAsia="宋体" w:cs="Times New Roman"/>
                <w:color w:val="auto"/>
                <w:sz w:val="28"/>
                <w:szCs w:val="28"/>
                <w:lang w:val="zh-CN" w:eastAsia="zh-CN"/>
              </w:rPr>
              <w:t>产生，无需设置相应总量控制指标。</w:t>
            </w:r>
          </w:p>
          <w:p>
            <w:pPr>
              <w:pStyle w:val="2"/>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jc w:val="both"/>
              <w:textAlignment w:val="auto"/>
              <w:rPr>
                <w:rFonts w:hint="default" w:ascii="Times New Roman" w:hAnsi="Times New Roman" w:eastAsia="宋体" w:cs="Times New Roman"/>
                <w:color w:val="auto"/>
                <w:lang w:val="en-US" w:eastAsia="zh-CN"/>
              </w:rPr>
            </w:pPr>
          </w:p>
        </w:tc>
      </w:tr>
    </w:tbl>
    <w:p>
      <w:pPr>
        <w:contextualSpacing/>
        <w:rPr>
          <w:rFonts w:hint="default" w:ascii="Times New Roman" w:hAnsi="Times New Roman" w:eastAsia="宋体" w:cs="Times New Roman"/>
          <w:lang w:eastAsia="zh-CN"/>
        </w:rPr>
      </w:pPr>
    </w:p>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表二</w:t>
      </w:r>
    </w:p>
    <w:tbl>
      <w:tblPr>
        <w:tblStyle w:val="19"/>
        <w:tblW w:w="52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5" w:hRule="atLeast"/>
          <w:jc w:val="center"/>
        </w:trPr>
        <w:tc>
          <w:tcPr>
            <w:tcW w:w="5000" w:type="pct"/>
          </w:tcPr>
          <w:p>
            <w:pPr>
              <w:spacing w:line="360" w:lineRule="auto"/>
              <w:rPr>
                <w:rFonts w:hint="default" w:ascii="Times New Roman" w:hAnsi="Times New Roman" w:eastAsia="宋体" w:cs="Times New Roman"/>
                <w:b/>
                <w:bCs/>
                <w:sz w:val="28"/>
                <w:szCs w:val="28"/>
                <w:lang w:eastAsia="zh-CN"/>
              </w:rPr>
            </w:pPr>
            <w:r>
              <w:rPr>
                <w:rFonts w:hint="eastAsia" w:cs="Times New Roman"/>
                <w:b/>
                <w:bCs/>
                <w:sz w:val="28"/>
                <w:szCs w:val="28"/>
                <w:lang w:eastAsia="zh-CN"/>
              </w:rPr>
              <w:t>工程建设内容</w:t>
            </w:r>
            <w:r>
              <w:rPr>
                <w:rFonts w:hint="default" w:ascii="Times New Roman" w:hAnsi="Times New Roman" w:eastAsia="宋体" w:cs="Times New Roman"/>
                <w:b/>
                <w:bCs/>
                <w:sz w:val="28"/>
                <w:szCs w:val="28"/>
                <w:lang w:eastAsia="zh-CN"/>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Times New Roman" w:hAnsi="Times New Roman" w:eastAsia="宋体" w:cs="Times New Roman"/>
                <w:kern w:val="2"/>
                <w:sz w:val="28"/>
                <w:szCs w:val="28"/>
                <w:lang w:val="en-US" w:eastAsia="zh-CN" w:bidi="ar"/>
              </w:rPr>
            </w:pPr>
            <w:r>
              <w:rPr>
                <w:rFonts w:hint="eastAsia" w:ascii="Times New Roman" w:hAnsi="Times New Roman" w:eastAsia="宋体" w:cs="Times New Roman"/>
                <w:kern w:val="2"/>
                <w:sz w:val="28"/>
                <w:szCs w:val="28"/>
                <w:lang w:val="en-US" w:eastAsia="zh-CN" w:bidi="ar"/>
              </w:rPr>
              <w:t>本项目</w:t>
            </w:r>
            <w:r>
              <w:rPr>
                <w:rFonts w:hint="default" w:ascii="Times New Roman" w:hAnsi="Times New Roman" w:eastAsia="宋体" w:cs="Times New Roman"/>
                <w:kern w:val="2"/>
                <w:sz w:val="28"/>
                <w:szCs w:val="28"/>
                <w:lang w:val="en-US" w:eastAsia="zh-CN" w:bidi="ar"/>
              </w:rPr>
              <w:t>位于湖南省岳阳市云溪区岳阳绿色化工产业园吴家垄路，</w:t>
            </w:r>
            <w:r>
              <w:rPr>
                <w:rFonts w:hint="eastAsia" w:ascii="Times New Roman" w:hAnsi="Times New Roman" w:eastAsia="宋体" w:cs="Times New Roman"/>
                <w:kern w:val="2"/>
                <w:sz w:val="28"/>
                <w:szCs w:val="28"/>
                <w:lang w:val="en-US" w:eastAsia="zh-CN" w:bidi="ar"/>
              </w:rPr>
              <w:t>地理坐标（东</w:t>
            </w:r>
            <w:r>
              <w:rPr>
                <w:rFonts w:hint="default" w:ascii="Times New Roman" w:hAnsi="Times New Roman" w:eastAsia="宋体" w:cs="Times New Roman"/>
                <w:kern w:val="2"/>
                <w:sz w:val="28"/>
                <w:szCs w:val="28"/>
                <w:lang w:val="en-US" w:eastAsia="zh-CN" w:bidi="ar"/>
              </w:rPr>
              <w:t>经：113.</w:t>
            </w:r>
            <w:r>
              <w:rPr>
                <w:rFonts w:hint="eastAsia" w:ascii="Times New Roman" w:hAnsi="Times New Roman" w:eastAsia="宋体" w:cs="Times New Roman"/>
                <w:kern w:val="2"/>
                <w:sz w:val="28"/>
                <w:szCs w:val="28"/>
                <w:lang w:val="en-US" w:eastAsia="zh-CN" w:bidi="ar"/>
              </w:rPr>
              <w:t>157163</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Times New Roman"/>
                <w:kern w:val="2"/>
                <w:sz w:val="28"/>
                <w:szCs w:val="28"/>
                <w:lang w:val="en-US" w:eastAsia="zh-CN" w:bidi="ar"/>
              </w:rPr>
              <w:t>北</w:t>
            </w:r>
            <w:r>
              <w:rPr>
                <w:rFonts w:hint="default" w:ascii="Times New Roman" w:hAnsi="Times New Roman" w:eastAsia="宋体" w:cs="Times New Roman"/>
                <w:kern w:val="2"/>
                <w:sz w:val="28"/>
                <w:szCs w:val="28"/>
                <w:lang w:val="en-US" w:eastAsia="zh-CN" w:bidi="ar"/>
              </w:rPr>
              <w:t>纬：29.</w:t>
            </w:r>
            <w:r>
              <w:rPr>
                <w:rFonts w:hint="eastAsia" w:ascii="Times New Roman" w:hAnsi="Times New Roman" w:eastAsia="宋体" w:cs="Times New Roman"/>
                <w:kern w:val="2"/>
                <w:sz w:val="28"/>
                <w:szCs w:val="28"/>
                <w:lang w:val="en-US" w:eastAsia="zh-CN" w:bidi="ar"/>
              </w:rPr>
              <w:t>4545846</w:t>
            </w:r>
            <w:r>
              <w:rPr>
                <w:rFonts w:hint="default" w:ascii="Times New Roman" w:hAnsi="Times New Roman" w:eastAsia="宋体" w:cs="Times New Roman"/>
                <w:kern w:val="2"/>
                <w:sz w:val="28"/>
                <w:szCs w:val="28"/>
                <w:lang w:val="en-US" w:eastAsia="zh-CN" w:bidi="ar"/>
              </w:rPr>
              <w:t>)</w:t>
            </w:r>
            <w:r>
              <w:rPr>
                <w:rFonts w:hint="eastAsia" w:ascii="Times New Roman" w:hAnsi="Times New Roman" w:eastAsia="宋体" w:cs="Times New Roman"/>
                <w:kern w:val="2"/>
                <w:sz w:val="28"/>
                <w:szCs w:val="28"/>
                <w:lang w:val="en-US" w:eastAsia="zh-CN" w:bidi="ar"/>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cs="Times New Roman"/>
                <w:kern w:val="2"/>
                <w:sz w:val="28"/>
                <w:szCs w:val="28"/>
                <w:lang w:val="en-US" w:eastAsia="zh-CN" w:bidi="ar"/>
              </w:rPr>
            </w:pPr>
            <w:r>
              <w:rPr>
                <w:rFonts w:hint="eastAsia" w:ascii="Times New Roman" w:hAnsi="Times New Roman" w:cs="Times New Roman"/>
                <w:kern w:val="2"/>
                <w:sz w:val="28"/>
                <w:szCs w:val="28"/>
                <w:lang w:val="en-US" w:eastAsia="zh-CN" w:bidi="ar"/>
              </w:rPr>
              <w:t>项</w:t>
            </w:r>
            <w:r>
              <w:rPr>
                <w:rFonts w:hint="eastAsia" w:ascii="Times New Roman" w:hAnsi="Times New Roman" w:eastAsia="宋体" w:cs="Times New Roman"/>
                <w:kern w:val="2"/>
                <w:sz w:val="28"/>
                <w:szCs w:val="28"/>
                <w:lang w:val="en-US" w:eastAsia="zh-CN" w:bidi="ar"/>
              </w:rPr>
              <w:t>目</w:t>
            </w:r>
            <w:r>
              <w:rPr>
                <w:rFonts w:hint="default" w:ascii="Times New Roman" w:hAnsi="Times New Roman" w:eastAsia="宋体" w:cs="Times New Roman"/>
                <w:kern w:val="2"/>
                <w:sz w:val="28"/>
                <w:szCs w:val="28"/>
                <w:lang w:val="en-US" w:eastAsia="zh-CN" w:bidi="ar"/>
              </w:rPr>
              <w:t>湖南省岳阳市云溪区岳阳绿色化工产业园吴家垄路</w:t>
            </w:r>
            <w:r>
              <w:rPr>
                <w:rFonts w:hint="eastAsia" w:ascii="Times New Roman" w:hAnsi="Times New Roman" w:eastAsia="宋体" w:cs="Times New Roman"/>
                <w:kern w:val="2"/>
                <w:sz w:val="28"/>
                <w:szCs w:val="28"/>
                <w:lang w:val="en-US" w:eastAsia="zh-CN" w:bidi="ar"/>
              </w:rPr>
              <w:t>岳阳市康源邦尔生物技术有限责任公司4号车间生产。项目主要建设内容情况见下表。</w:t>
            </w:r>
          </w:p>
          <w:p>
            <w:pPr>
              <w:pStyle w:val="2"/>
              <w:spacing w:before="8" w:line="220" w:lineRule="auto"/>
              <w:ind w:right="157" w:firstLine="410"/>
              <w:jc w:val="center"/>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lang w:eastAsia="zh-CN"/>
              </w:rPr>
              <w:t>表</w:t>
            </w:r>
            <w:r>
              <w:rPr>
                <w:rFonts w:hint="eastAsia" w:cs="Times New Roman"/>
                <w:b/>
                <w:bCs/>
                <w:spacing w:val="-3"/>
                <w:sz w:val="24"/>
                <w:szCs w:val="24"/>
                <w:lang w:val="en-US" w:eastAsia="zh-CN"/>
              </w:rPr>
              <w:t>2</w:t>
            </w:r>
            <w:r>
              <w:rPr>
                <w:rFonts w:hint="default" w:ascii="Times New Roman" w:hAnsi="Times New Roman" w:eastAsia="宋体" w:cs="Times New Roman"/>
                <w:b/>
                <w:bCs/>
                <w:spacing w:val="-3"/>
                <w:sz w:val="24"/>
                <w:szCs w:val="24"/>
                <w:lang w:eastAsia="zh-CN"/>
              </w:rPr>
              <w:t xml:space="preserve"> 建设项目实际建内容与环评时期对比情况一览表</w:t>
            </w:r>
          </w:p>
          <w:tbl>
            <w:tblPr>
              <w:tblStyle w:val="20"/>
              <w:tblW w:w="4999" w:type="pct"/>
              <w:tblInd w:w="-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27"/>
              <w:gridCol w:w="671"/>
              <w:gridCol w:w="2253"/>
              <w:gridCol w:w="2307"/>
              <w:gridCol w:w="1103"/>
              <w:gridCol w:w="110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类别</w:t>
                  </w:r>
                </w:p>
              </w:tc>
              <w:tc>
                <w:tcPr>
                  <w:tcW w:w="1687" w:type="pct"/>
                  <w:gridSpan w:val="2"/>
                  <w:tcBorders>
                    <w:tl2br w:val="nil"/>
                    <w:tr2bl w:val="nil"/>
                  </w:tcBorders>
                  <w:vAlign w:val="center"/>
                </w:tcPr>
                <w:p>
                  <w:pPr>
                    <w:pStyle w:val="2"/>
                    <w:spacing w:before="8" w:line="240" w:lineRule="auto"/>
                    <w:ind w:right="157"/>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环评建设内容</w:t>
                  </w:r>
                </w:p>
              </w:tc>
              <w:tc>
                <w:tcPr>
                  <w:tcW w:w="1331"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实际建设内容</w:t>
                  </w:r>
                </w:p>
              </w:tc>
              <w:tc>
                <w:tcPr>
                  <w:tcW w:w="636"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b/>
                      <w:bCs/>
                      <w:sz w:val="21"/>
                      <w:szCs w:val="21"/>
                      <w:vertAlign w:val="baseline"/>
                      <w:lang w:eastAsia="zh-CN"/>
                    </w:rPr>
                  </w:pPr>
                  <w:r>
                    <w:rPr>
                      <w:rFonts w:hint="eastAsia" w:cs="Times New Roman"/>
                      <w:b/>
                      <w:bCs/>
                      <w:sz w:val="21"/>
                      <w:szCs w:val="21"/>
                      <w:vertAlign w:val="baseline"/>
                      <w:lang w:eastAsia="zh-CN"/>
                    </w:rPr>
                    <w:t>备注</w:t>
                  </w:r>
                </w:p>
              </w:tc>
              <w:tc>
                <w:tcPr>
                  <w:tcW w:w="636"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b/>
                      <w:bCs/>
                      <w:sz w:val="21"/>
                      <w:szCs w:val="21"/>
                      <w:vertAlign w:val="baseline"/>
                      <w:lang w:eastAsia="zh-CN"/>
                    </w:rPr>
                  </w:pPr>
                  <w:r>
                    <w:rPr>
                      <w:rFonts w:hint="eastAsia" w:cs="Times New Roman"/>
                      <w:b/>
                      <w:bCs/>
                      <w:sz w:val="21"/>
                      <w:szCs w:val="21"/>
                      <w:vertAlign w:val="baseline"/>
                      <w:lang w:eastAsia="zh-CN"/>
                    </w:rPr>
                    <w:t>是否与环评一致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主体工程</w:t>
                  </w:r>
                </w:p>
              </w:tc>
              <w:tc>
                <w:tcPr>
                  <w:tcW w:w="387"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生产线</w:t>
                  </w:r>
                </w:p>
              </w:tc>
              <w:tc>
                <w:tcPr>
                  <w:tcW w:w="1300" w:type="pct"/>
                  <w:tcBorders>
                    <w:tl2br w:val="nil"/>
                    <w:tr2bl w:val="nil"/>
                  </w:tcBorders>
                  <w:vAlign w:val="center"/>
                </w:tcPr>
                <w:p>
                  <w:pPr>
                    <w:pStyle w:val="2"/>
                    <w:spacing w:before="8" w:line="240" w:lineRule="auto"/>
                    <w:ind w:right="157"/>
                    <w:jc w:val="center"/>
                    <w:rPr>
                      <w:rFonts w:hint="eastAsia"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lang w:val="en-US" w:eastAsia="zh-CN"/>
                    </w:rPr>
                    <w:t>厂房内设年产5000吨中量元素肥料技改项目生产线</w:t>
                  </w:r>
                </w:p>
              </w:tc>
              <w:tc>
                <w:tcPr>
                  <w:tcW w:w="1331" w:type="pct"/>
                  <w:tcBorders>
                    <w:tl2br w:val="nil"/>
                    <w:tr2bl w:val="nil"/>
                  </w:tcBorders>
                  <w:vAlign w:val="center"/>
                </w:tcPr>
                <w:p>
                  <w:pPr>
                    <w:pStyle w:val="2"/>
                    <w:spacing w:before="8" w:line="240" w:lineRule="auto"/>
                    <w:ind w:right="157"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lang w:val="en-US" w:eastAsia="zh-CN"/>
                    </w:rPr>
                    <w:t>厂房内设年产5000吨中量元素肥料技改项目生产线</w:t>
                  </w:r>
                </w:p>
              </w:tc>
              <w:tc>
                <w:tcPr>
                  <w:tcW w:w="636" w:type="pct"/>
                  <w:tcBorders>
                    <w:tl2br w:val="nil"/>
                    <w:tr2bl w:val="nil"/>
                  </w:tcBorders>
                  <w:vAlign w:val="center"/>
                </w:tcPr>
                <w:p>
                  <w:pPr>
                    <w:pStyle w:val="2"/>
                    <w:spacing w:before="8" w:line="240" w:lineRule="auto"/>
                    <w:ind w:right="157"/>
                    <w:jc w:val="center"/>
                    <w:rPr>
                      <w:rFonts w:hint="eastAsia" w:cs="Times New Roman"/>
                      <w:sz w:val="21"/>
                      <w:szCs w:val="21"/>
                      <w:vertAlign w:val="baseline"/>
                      <w:lang w:eastAsia="zh-CN"/>
                    </w:rPr>
                  </w:pPr>
                  <w:r>
                    <w:rPr>
                      <w:rFonts w:hint="eastAsia" w:cs="Times New Roman"/>
                      <w:sz w:val="21"/>
                      <w:szCs w:val="21"/>
                      <w:vertAlign w:val="baseline"/>
                      <w:lang w:eastAsia="zh-CN"/>
                    </w:rPr>
                    <w:t>现有厂房</w:t>
                  </w:r>
                </w:p>
              </w:tc>
              <w:tc>
                <w:tcPr>
                  <w:tcW w:w="636"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vMerge w:val="restar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辅助工程</w:t>
                  </w:r>
                </w:p>
              </w:tc>
              <w:tc>
                <w:tcPr>
                  <w:tcW w:w="387"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办公区</w:t>
                  </w:r>
                </w:p>
              </w:tc>
              <w:tc>
                <w:tcPr>
                  <w:tcW w:w="1300"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lang w:val="en-US" w:eastAsia="zh-CN"/>
                    </w:rPr>
                    <w:t>依托</w:t>
                  </w:r>
                  <w:r>
                    <w:rPr>
                      <w:rFonts w:hint="eastAsia" w:cs="Times New Roman"/>
                      <w:sz w:val="21"/>
                      <w:szCs w:val="21"/>
                      <w:lang w:val="en-US" w:eastAsia="zh-CN"/>
                    </w:rPr>
                    <w:t>现</w:t>
                  </w:r>
                  <w:r>
                    <w:rPr>
                      <w:rFonts w:hint="default" w:ascii="Times New Roman" w:hAnsi="Times New Roman" w:cs="Times New Roman"/>
                      <w:sz w:val="21"/>
                      <w:szCs w:val="21"/>
                      <w:lang w:val="en-US" w:eastAsia="zh-CN"/>
                    </w:rPr>
                    <w:t>有办公区域</w:t>
                  </w:r>
                  <w:r>
                    <w:rPr>
                      <w:rFonts w:hint="eastAsia" w:cs="Times New Roman"/>
                      <w:sz w:val="21"/>
                      <w:szCs w:val="21"/>
                      <w:lang w:val="en-US" w:eastAsia="zh-CN"/>
                    </w:rPr>
                    <w:t>，占地1746m</w:t>
                  </w:r>
                  <w:r>
                    <w:rPr>
                      <w:rFonts w:hint="eastAsia" w:cs="Times New Roman"/>
                      <w:sz w:val="21"/>
                      <w:szCs w:val="21"/>
                      <w:vertAlign w:val="superscript"/>
                      <w:lang w:val="en-US" w:eastAsia="zh-CN"/>
                    </w:rPr>
                    <w:t>2</w:t>
                  </w:r>
                  <w:r>
                    <w:rPr>
                      <w:rFonts w:eastAsia="宋体"/>
                      <w:kern w:val="0"/>
                      <w:sz w:val="21"/>
                      <w:szCs w:val="21"/>
                    </w:rPr>
                    <w:t>，1F</w:t>
                  </w:r>
                </w:p>
              </w:tc>
              <w:tc>
                <w:tcPr>
                  <w:tcW w:w="1331" w:type="pct"/>
                  <w:tcBorders>
                    <w:tl2br w:val="nil"/>
                    <w:tr2bl w:val="nil"/>
                  </w:tcBorders>
                  <w:vAlign w:val="center"/>
                </w:tcPr>
                <w:p>
                  <w:pPr>
                    <w:pStyle w:val="2"/>
                    <w:spacing w:before="8" w:line="240" w:lineRule="auto"/>
                    <w:ind w:right="157" w:rightChars="0"/>
                    <w:jc w:val="center"/>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建设有4个办公室</w:t>
                  </w:r>
                </w:p>
              </w:tc>
              <w:tc>
                <w:tcPr>
                  <w:tcW w:w="636"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现有厂房</w:t>
                  </w:r>
                </w:p>
              </w:tc>
              <w:tc>
                <w:tcPr>
                  <w:tcW w:w="636" w:type="pct"/>
                  <w:vMerge w:val="restar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c>
                <w:tcPr>
                  <w:tcW w:w="387" w:type="pct"/>
                  <w:tcBorders>
                    <w:tl2br w:val="nil"/>
                    <w:tr2bl w:val="nil"/>
                  </w:tcBorders>
                  <w:vAlign w:val="center"/>
                </w:tcPr>
                <w:p>
                  <w:pPr>
                    <w:pStyle w:val="2"/>
                    <w:spacing w:before="8" w:line="240" w:lineRule="auto"/>
                    <w:ind w:right="157"/>
                    <w:jc w:val="center"/>
                    <w:rPr>
                      <w:rFonts w:hint="eastAsia" w:cs="Times New Roman"/>
                      <w:sz w:val="21"/>
                      <w:szCs w:val="21"/>
                      <w:vertAlign w:val="baseline"/>
                      <w:lang w:eastAsia="zh-CN"/>
                    </w:rPr>
                  </w:pPr>
                  <w:r>
                    <w:rPr>
                      <w:rFonts w:hint="eastAsia" w:cs="Times New Roman"/>
                      <w:sz w:val="21"/>
                      <w:szCs w:val="21"/>
                      <w:vertAlign w:val="baseline"/>
                      <w:lang w:eastAsia="zh-CN"/>
                    </w:rPr>
                    <w:t>原料仓库</w:t>
                  </w:r>
                </w:p>
              </w:tc>
              <w:tc>
                <w:tcPr>
                  <w:tcW w:w="1300" w:type="pct"/>
                  <w:tcBorders>
                    <w:tl2br w:val="nil"/>
                    <w:tr2bl w:val="nil"/>
                  </w:tcBorders>
                  <w:vAlign w:val="center"/>
                </w:tcPr>
                <w:p>
                  <w:pPr>
                    <w:pStyle w:val="2"/>
                    <w:spacing w:before="8" w:line="240" w:lineRule="auto"/>
                    <w:ind w:right="157"/>
                    <w:jc w:val="center"/>
                    <w:rPr>
                      <w:rFonts w:hint="eastAsia" w:cs="Times New Roman"/>
                      <w:b w:val="0"/>
                      <w:bCs w:val="0"/>
                      <w:sz w:val="21"/>
                      <w:szCs w:val="21"/>
                      <w:vertAlign w:val="baseline"/>
                      <w:lang w:val="en-US" w:eastAsia="zh-CN"/>
                    </w:rPr>
                  </w:pPr>
                  <w:r>
                    <w:rPr>
                      <w:rFonts w:eastAsia="宋体"/>
                      <w:kern w:val="0"/>
                      <w:sz w:val="21"/>
                      <w:szCs w:val="21"/>
                    </w:rPr>
                    <w:t>建筑面积约为</w:t>
                  </w:r>
                  <w:r>
                    <w:rPr>
                      <w:rFonts w:hint="eastAsia" w:eastAsia="宋体"/>
                      <w:kern w:val="0"/>
                      <w:sz w:val="21"/>
                      <w:szCs w:val="21"/>
                      <w:lang w:val="en-US" w:eastAsia="zh-CN"/>
                    </w:rPr>
                    <w:t>1000.5</w:t>
                  </w:r>
                  <w:r>
                    <w:rPr>
                      <w:rFonts w:eastAsia="宋体"/>
                      <w:kern w:val="0"/>
                      <w:sz w:val="21"/>
                      <w:szCs w:val="21"/>
                    </w:rPr>
                    <w:t>m</w:t>
                  </w:r>
                  <w:r>
                    <w:rPr>
                      <w:rFonts w:eastAsia="宋体"/>
                      <w:kern w:val="0"/>
                      <w:sz w:val="21"/>
                      <w:szCs w:val="21"/>
                      <w:vertAlign w:val="superscript"/>
                    </w:rPr>
                    <w:t>2</w:t>
                  </w:r>
                  <w:r>
                    <w:rPr>
                      <w:rFonts w:eastAsia="宋体"/>
                      <w:kern w:val="0"/>
                      <w:sz w:val="21"/>
                      <w:szCs w:val="21"/>
                    </w:rPr>
                    <w:t>，1F</w:t>
                  </w:r>
                </w:p>
              </w:tc>
              <w:tc>
                <w:tcPr>
                  <w:tcW w:w="1331" w:type="pct"/>
                  <w:tcBorders>
                    <w:tl2br w:val="nil"/>
                    <w:tr2bl w:val="nil"/>
                  </w:tcBorders>
                  <w:vAlign w:val="center"/>
                </w:tcPr>
                <w:p>
                  <w:pPr>
                    <w:pStyle w:val="2"/>
                    <w:spacing w:before="8" w:line="240" w:lineRule="auto"/>
                    <w:ind w:right="157" w:rightChars="0"/>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建设有2部电梯</w:t>
                  </w:r>
                </w:p>
              </w:tc>
              <w:tc>
                <w:tcPr>
                  <w:tcW w:w="636" w:type="pct"/>
                  <w:tcBorders>
                    <w:tl2br w:val="nil"/>
                    <w:tr2bl w:val="nil"/>
                  </w:tcBorders>
                  <w:vAlign w:val="center"/>
                </w:tcPr>
                <w:p>
                  <w:pPr>
                    <w:pStyle w:val="2"/>
                    <w:spacing w:before="8" w:line="240" w:lineRule="auto"/>
                    <w:ind w:right="157"/>
                    <w:jc w:val="center"/>
                    <w:rPr>
                      <w:rFonts w:hint="eastAsia" w:cs="Times New Roman"/>
                      <w:sz w:val="21"/>
                      <w:szCs w:val="21"/>
                      <w:vertAlign w:val="baseline"/>
                      <w:lang w:eastAsia="zh-CN"/>
                    </w:rPr>
                  </w:pPr>
                  <w:r>
                    <w:rPr>
                      <w:rFonts w:hint="eastAsia" w:cs="Times New Roman"/>
                      <w:sz w:val="21"/>
                      <w:szCs w:val="21"/>
                      <w:vertAlign w:val="baseline"/>
                      <w:lang w:eastAsia="zh-CN"/>
                    </w:rPr>
                    <w:t>现有厂房</w:t>
                  </w:r>
                </w:p>
              </w:tc>
              <w:tc>
                <w:tcPr>
                  <w:tcW w:w="636"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54" w:hRule="atLeast"/>
              </w:trPr>
              <w:tc>
                <w:tcPr>
                  <w:tcW w:w="708"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c>
                <w:tcPr>
                  <w:tcW w:w="387" w:type="pct"/>
                  <w:tcBorders>
                    <w:tl2br w:val="nil"/>
                    <w:tr2bl w:val="nil"/>
                  </w:tcBorders>
                  <w:vAlign w:val="center"/>
                </w:tcPr>
                <w:p>
                  <w:pPr>
                    <w:pStyle w:val="2"/>
                    <w:spacing w:before="8" w:line="240" w:lineRule="auto"/>
                    <w:ind w:right="157"/>
                    <w:jc w:val="center"/>
                    <w:rPr>
                      <w:rFonts w:hint="eastAsia" w:cs="Times New Roman"/>
                      <w:sz w:val="21"/>
                      <w:szCs w:val="21"/>
                      <w:vertAlign w:val="baseline"/>
                      <w:lang w:eastAsia="zh-CN"/>
                    </w:rPr>
                  </w:pPr>
                  <w:r>
                    <w:rPr>
                      <w:rFonts w:hint="eastAsia" w:cs="Times New Roman"/>
                      <w:sz w:val="21"/>
                      <w:szCs w:val="21"/>
                      <w:vertAlign w:val="baseline"/>
                      <w:lang w:eastAsia="zh-CN"/>
                    </w:rPr>
                    <w:t>成品仓库</w:t>
                  </w:r>
                </w:p>
              </w:tc>
              <w:tc>
                <w:tcPr>
                  <w:tcW w:w="1300" w:type="pct"/>
                  <w:tcBorders>
                    <w:tl2br w:val="nil"/>
                    <w:tr2bl w:val="nil"/>
                  </w:tcBorders>
                  <w:vAlign w:val="center"/>
                </w:tcPr>
                <w:p>
                  <w:pPr>
                    <w:pStyle w:val="2"/>
                    <w:spacing w:before="8" w:line="240" w:lineRule="auto"/>
                    <w:ind w:right="157"/>
                    <w:jc w:val="center"/>
                    <w:rPr>
                      <w:rFonts w:hint="eastAsia" w:cs="Times New Roman"/>
                      <w:b w:val="0"/>
                      <w:bCs w:val="0"/>
                      <w:sz w:val="21"/>
                      <w:szCs w:val="21"/>
                      <w:vertAlign w:val="baseline"/>
                      <w:lang w:val="en-US" w:eastAsia="zh-CN"/>
                    </w:rPr>
                  </w:pPr>
                  <w:r>
                    <w:rPr>
                      <w:rFonts w:eastAsia="宋体"/>
                      <w:kern w:val="0"/>
                      <w:sz w:val="21"/>
                      <w:szCs w:val="21"/>
                    </w:rPr>
                    <w:t>建筑面积约为</w:t>
                  </w:r>
                  <w:r>
                    <w:rPr>
                      <w:rFonts w:hint="eastAsia" w:eastAsia="宋体"/>
                      <w:kern w:val="0"/>
                      <w:sz w:val="21"/>
                      <w:szCs w:val="21"/>
                      <w:lang w:val="en-US" w:eastAsia="zh-CN"/>
                    </w:rPr>
                    <w:t>1000.5</w:t>
                  </w:r>
                  <w:r>
                    <w:rPr>
                      <w:rFonts w:eastAsia="宋体"/>
                      <w:kern w:val="0"/>
                      <w:sz w:val="21"/>
                      <w:szCs w:val="21"/>
                    </w:rPr>
                    <w:t>m</w:t>
                  </w:r>
                  <w:r>
                    <w:rPr>
                      <w:rFonts w:eastAsia="宋体"/>
                      <w:kern w:val="0"/>
                      <w:sz w:val="21"/>
                      <w:szCs w:val="21"/>
                      <w:vertAlign w:val="superscript"/>
                    </w:rPr>
                    <w:t>2</w:t>
                  </w:r>
                  <w:r>
                    <w:rPr>
                      <w:rFonts w:eastAsia="宋体"/>
                      <w:kern w:val="0"/>
                      <w:sz w:val="21"/>
                      <w:szCs w:val="21"/>
                    </w:rPr>
                    <w:t>，1F</w:t>
                  </w:r>
                </w:p>
              </w:tc>
              <w:tc>
                <w:tcPr>
                  <w:tcW w:w="1331" w:type="pct"/>
                  <w:tcBorders>
                    <w:tl2br w:val="nil"/>
                    <w:tr2bl w:val="nil"/>
                  </w:tcBorders>
                  <w:vAlign w:val="center"/>
                </w:tcPr>
                <w:p>
                  <w:pPr>
                    <w:pStyle w:val="2"/>
                    <w:spacing w:before="8" w:line="240" w:lineRule="auto"/>
                    <w:ind w:right="157" w:rightChars="0"/>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建设8个厕所</w:t>
                  </w:r>
                </w:p>
              </w:tc>
              <w:tc>
                <w:tcPr>
                  <w:tcW w:w="636" w:type="pct"/>
                  <w:tcBorders>
                    <w:tl2br w:val="nil"/>
                    <w:tr2bl w:val="nil"/>
                  </w:tcBorders>
                  <w:vAlign w:val="center"/>
                </w:tcPr>
                <w:p>
                  <w:pPr>
                    <w:pStyle w:val="2"/>
                    <w:spacing w:before="8" w:line="240" w:lineRule="auto"/>
                    <w:ind w:right="157"/>
                    <w:jc w:val="center"/>
                    <w:rPr>
                      <w:rFonts w:hint="eastAsia" w:cs="Times New Roman"/>
                      <w:sz w:val="21"/>
                      <w:szCs w:val="21"/>
                      <w:vertAlign w:val="baseline"/>
                      <w:lang w:eastAsia="zh-CN"/>
                    </w:rPr>
                  </w:pPr>
                  <w:r>
                    <w:rPr>
                      <w:rFonts w:hint="eastAsia" w:cs="Times New Roman"/>
                      <w:sz w:val="21"/>
                      <w:szCs w:val="21"/>
                      <w:vertAlign w:val="baseline"/>
                      <w:lang w:eastAsia="zh-CN"/>
                    </w:rPr>
                    <w:t>现有厂房</w:t>
                  </w:r>
                </w:p>
              </w:tc>
              <w:tc>
                <w:tcPr>
                  <w:tcW w:w="636"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vMerge w:val="restar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公用工程</w:t>
                  </w:r>
                </w:p>
              </w:tc>
              <w:tc>
                <w:tcPr>
                  <w:tcW w:w="387"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供电</w:t>
                  </w:r>
                </w:p>
              </w:tc>
              <w:tc>
                <w:tcPr>
                  <w:tcW w:w="1300"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sz w:val="21"/>
                      <w:szCs w:val="21"/>
                      <w:lang w:val="en-US" w:eastAsia="zh-CN"/>
                    </w:rPr>
                    <w:t>依托</w:t>
                  </w:r>
                  <w:r>
                    <w:rPr>
                      <w:rFonts w:hint="eastAsia" w:ascii="Times New Roman" w:hAnsi="Times New Roman" w:cs="Times New Roman"/>
                      <w:sz w:val="21"/>
                      <w:szCs w:val="21"/>
                      <w:lang w:val="en-US" w:eastAsia="zh-CN"/>
                    </w:rPr>
                    <w:t>现有</w:t>
                  </w:r>
                  <w:r>
                    <w:rPr>
                      <w:rFonts w:hint="default" w:ascii="Times New Roman" w:hAnsi="Times New Roman" w:cs="Times New Roman"/>
                      <w:sz w:val="21"/>
                      <w:szCs w:val="21"/>
                      <w:lang w:val="en-US" w:eastAsia="zh-CN"/>
                    </w:rPr>
                    <w:t>厂区供电</w:t>
                  </w:r>
                </w:p>
              </w:tc>
              <w:tc>
                <w:tcPr>
                  <w:tcW w:w="1331"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val="en-US" w:eastAsia="zh-CN"/>
                    </w:rPr>
                    <w:t>由厂区供电。</w:t>
                  </w:r>
                </w:p>
              </w:tc>
              <w:tc>
                <w:tcPr>
                  <w:tcW w:w="636"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依托</w:t>
                  </w:r>
                </w:p>
              </w:tc>
              <w:tc>
                <w:tcPr>
                  <w:tcW w:w="636" w:type="pct"/>
                  <w:vMerge w:val="restar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c>
                <w:tcPr>
                  <w:tcW w:w="387"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rPr>
                    <w:t>供水</w:t>
                  </w:r>
                </w:p>
              </w:tc>
              <w:tc>
                <w:tcPr>
                  <w:tcW w:w="1300"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sz w:val="21"/>
                      <w:szCs w:val="21"/>
                      <w:lang w:val="en-US" w:eastAsia="zh-CN"/>
                    </w:rPr>
                    <w:t>依托</w:t>
                  </w:r>
                  <w:r>
                    <w:rPr>
                      <w:rFonts w:hint="eastAsia" w:cs="Times New Roman"/>
                      <w:sz w:val="21"/>
                      <w:szCs w:val="21"/>
                      <w:lang w:val="en-US" w:eastAsia="zh-CN"/>
                    </w:rPr>
                    <w:t>现有</w:t>
                  </w:r>
                  <w:r>
                    <w:rPr>
                      <w:rFonts w:hint="default" w:ascii="Times New Roman" w:hAnsi="Times New Roman" w:cs="Times New Roman"/>
                      <w:sz w:val="21"/>
                      <w:szCs w:val="21"/>
                      <w:lang w:val="en-US" w:eastAsia="zh-CN"/>
                    </w:rPr>
                    <w:t>厂区供水</w:t>
                  </w:r>
                </w:p>
              </w:tc>
              <w:tc>
                <w:tcPr>
                  <w:tcW w:w="1331"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由厂区供水</w:t>
                  </w:r>
                </w:p>
              </w:tc>
              <w:tc>
                <w:tcPr>
                  <w:tcW w:w="636"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依托</w:t>
                  </w:r>
                </w:p>
              </w:tc>
              <w:tc>
                <w:tcPr>
                  <w:tcW w:w="636"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c>
                <w:tcPr>
                  <w:tcW w:w="387"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排水</w:t>
                  </w:r>
                </w:p>
              </w:tc>
              <w:tc>
                <w:tcPr>
                  <w:tcW w:w="1300"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cs="Times New Roman"/>
                      <w:color w:val="auto"/>
                      <w:sz w:val="21"/>
                      <w:szCs w:val="21"/>
                      <w:highlight w:val="none"/>
                      <w:u w:val="none"/>
                      <w:lang w:eastAsia="zh-CN"/>
                    </w:rPr>
                  </w:pPr>
                  <w:r>
                    <w:rPr>
                      <w:rFonts w:hint="eastAsia"/>
                      <w:sz w:val="21"/>
                      <w:szCs w:val="21"/>
                      <w:lang w:val="en-US" w:eastAsia="zh-CN"/>
                    </w:rPr>
                    <w:t>依托现有厂区雨污分流系统，本</w:t>
                  </w:r>
                  <w:r>
                    <w:rPr>
                      <w:sz w:val="21"/>
                      <w:szCs w:val="21"/>
                    </w:rPr>
                    <w:t>项目无生产废水产生</w:t>
                  </w:r>
                  <w:r>
                    <w:rPr>
                      <w:rFonts w:hint="eastAsia"/>
                      <w:sz w:val="21"/>
                      <w:szCs w:val="21"/>
                      <w:lang w:eastAsia="zh-CN"/>
                    </w:rPr>
                    <w:t>，无</w:t>
                  </w:r>
                  <w:r>
                    <w:rPr>
                      <w:rFonts w:hint="eastAsia"/>
                      <w:sz w:val="21"/>
                      <w:szCs w:val="21"/>
                      <w:lang w:val="en-US" w:eastAsia="zh-CN"/>
                    </w:rPr>
                    <w:t>生活污水新增</w:t>
                  </w:r>
                </w:p>
              </w:tc>
              <w:tc>
                <w:tcPr>
                  <w:tcW w:w="1331"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cs="Times New Roman"/>
                      <w:color w:val="auto"/>
                      <w:sz w:val="21"/>
                      <w:szCs w:val="21"/>
                      <w:highlight w:val="none"/>
                      <w:u w:val="none"/>
                      <w:lang w:eastAsia="zh-CN"/>
                    </w:rPr>
                  </w:pPr>
                  <w:r>
                    <w:rPr>
                      <w:rFonts w:hint="eastAsia" w:cs="Times New Roman"/>
                      <w:color w:val="auto"/>
                      <w:sz w:val="21"/>
                      <w:szCs w:val="21"/>
                      <w:highlight w:val="none"/>
                      <w:u w:val="none"/>
                      <w:lang w:eastAsia="zh-CN"/>
                    </w:rPr>
                    <w:t>依托厂区雨污管网</w:t>
                  </w:r>
                </w:p>
              </w:tc>
              <w:tc>
                <w:tcPr>
                  <w:tcW w:w="636" w:type="pct"/>
                  <w:tcBorders>
                    <w:tl2br w:val="nil"/>
                    <w:tr2bl w:val="nil"/>
                  </w:tcBorders>
                  <w:vAlign w:val="center"/>
                </w:tcPr>
                <w:p>
                  <w:pPr>
                    <w:pStyle w:val="2"/>
                    <w:spacing w:before="8" w:line="240" w:lineRule="auto"/>
                    <w:ind w:right="157"/>
                    <w:jc w:val="center"/>
                    <w:rPr>
                      <w:rFonts w:hint="eastAsia" w:cs="Times New Roman"/>
                      <w:sz w:val="21"/>
                      <w:szCs w:val="21"/>
                      <w:vertAlign w:val="baseline"/>
                      <w:lang w:eastAsia="zh-CN"/>
                    </w:rPr>
                  </w:pPr>
                  <w:r>
                    <w:rPr>
                      <w:rFonts w:hint="eastAsia" w:cs="Times New Roman"/>
                      <w:sz w:val="21"/>
                      <w:szCs w:val="21"/>
                      <w:vertAlign w:val="baseline"/>
                      <w:lang w:eastAsia="zh-CN"/>
                    </w:rPr>
                    <w:t>依托</w:t>
                  </w:r>
                </w:p>
              </w:tc>
              <w:tc>
                <w:tcPr>
                  <w:tcW w:w="636"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vMerge w:val="restar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环保工程</w:t>
                  </w:r>
                </w:p>
              </w:tc>
              <w:tc>
                <w:tcPr>
                  <w:tcW w:w="387"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噪声治理</w:t>
                  </w:r>
                </w:p>
              </w:tc>
              <w:tc>
                <w:tcPr>
                  <w:tcW w:w="1300"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sz w:val="21"/>
                      <w:szCs w:val="21"/>
                      <w:lang w:eastAsia="zh-CN"/>
                    </w:rPr>
                    <w:t>生产设备安装减震垫、车间隔声</w:t>
                  </w:r>
                </w:p>
              </w:tc>
              <w:tc>
                <w:tcPr>
                  <w:tcW w:w="1331"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生产设备安装好减震措施</w:t>
                  </w:r>
                </w:p>
              </w:tc>
              <w:tc>
                <w:tcPr>
                  <w:tcW w:w="636"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新建</w:t>
                  </w:r>
                </w:p>
              </w:tc>
              <w:tc>
                <w:tcPr>
                  <w:tcW w:w="636" w:type="pct"/>
                  <w:vMerge w:val="restar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c>
                <w:tcPr>
                  <w:tcW w:w="387"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eastAsia" w:cs="Times New Roman"/>
                      <w:color w:val="auto"/>
                      <w:sz w:val="21"/>
                      <w:szCs w:val="21"/>
                      <w:highlight w:val="none"/>
                      <w:u w:val="none"/>
                      <w:lang w:eastAsia="zh-CN"/>
                    </w:rPr>
                    <w:t>废水</w:t>
                  </w:r>
                </w:p>
              </w:tc>
              <w:tc>
                <w:tcPr>
                  <w:tcW w:w="1300"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eastAsia"/>
                      <w:sz w:val="21"/>
                      <w:szCs w:val="21"/>
                      <w:lang w:val="en-US" w:eastAsia="zh-CN"/>
                    </w:rPr>
                    <w:t>生活废水经化粪池处理后排入云溪区工业园污水管网</w:t>
                  </w:r>
                </w:p>
              </w:tc>
              <w:tc>
                <w:tcPr>
                  <w:tcW w:w="1331"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Times New Roman"/>
                      <w:color w:val="auto"/>
                      <w:kern w:val="0"/>
                      <w:sz w:val="21"/>
                      <w:szCs w:val="21"/>
                      <w:highlight w:val="none"/>
                      <w:u w:val="none"/>
                      <w:lang w:val="en-US" w:eastAsia="zh-CN" w:bidi="ar-SA"/>
                    </w:rPr>
                  </w:pPr>
                  <w:r>
                    <w:rPr>
                      <w:rFonts w:hint="eastAsia"/>
                      <w:sz w:val="21"/>
                      <w:szCs w:val="21"/>
                      <w:lang w:val="en-US" w:eastAsia="zh-CN"/>
                    </w:rPr>
                    <w:t>生活废水经化粪池处理后排入云溪区工业园污水管网</w:t>
                  </w:r>
                </w:p>
              </w:tc>
              <w:tc>
                <w:tcPr>
                  <w:tcW w:w="636"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依托</w:t>
                  </w:r>
                </w:p>
              </w:tc>
              <w:tc>
                <w:tcPr>
                  <w:tcW w:w="636"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8"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c>
                <w:tcPr>
                  <w:tcW w:w="387"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cs="Times New Roman"/>
                      <w:color w:val="auto"/>
                      <w:kern w:val="0"/>
                      <w:sz w:val="21"/>
                      <w:szCs w:val="21"/>
                      <w:highlight w:val="none"/>
                      <w:u w:val="none"/>
                      <w:lang w:val="en-US" w:eastAsia="zh-CN" w:bidi="ar-SA"/>
                    </w:rPr>
                    <w:t>固体废物</w:t>
                  </w:r>
                </w:p>
              </w:tc>
              <w:tc>
                <w:tcPr>
                  <w:tcW w:w="1300"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sz w:val="21"/>
                      <w:szCs w:val="21"/>
                    </w:rPr>
                    <w:t>本项目无工艺废渣产生</w:t>
                  </w:r>
                  <w:r>
                    <w:rPr>
                      <w:rFonts w:hint="eastAsia" w:ascii="Times New Roman"/>
                      <w:sz w:val="21"/>
                      <w:szCs w:val="21"/>
                      <w:lang w:eastAsia="zh-CN"/>
                    </w:rPr>
                    <w:t>，</w:t>
                  </w:r>
                  <w:r>
                    <w:rPr>
                      <w:rFonts w:hint="default" w:ascii="Times New Roman" w:hAnsi="Times New Roman" w:cs="Times New Roman"/>
                      <w:sz w:val="21"/>
                      <w:szCs w:val="21"/>
                      <w:lang w:eastAsia="zh-CN"/>
                    </w:rPr>
                    <w:t>生活垃圾收集后交由环卫部门清运处置。</w:t>
                  </w:r>
                </w:p>
              </w:tc>
              <w:tc>
                <w:tcPr>
                  <w:tcW w:w="1331" w:type="pct"/>
                  <w:tcBorders>
                    <w:tl2br w:val="nil"/>
                    <w:tr2bl w:val="nil"/>
                  </w:tcBorders>
                  <w:vAlign w:val="center"/>
                </w:tcPr>
                <w:p>
                  <w:pPr>
                    <w:pStyle w:val="35"/>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sz w:val="21"/>
                      <w:szCs w:val="21"/>
                      <w:lang w:eastAsia="zh-CN"/>
                    </w:rPr>
                    <w:t>生活垃圾收集后交由环卫部门清运处置。</w:t>
                  </w:r>
                </w:p>
              </w:tc>
              <w:tc>
                <w:tcPr>
                  <w:tcW w:w="636" w:type="pct"/>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依托</w:t>
                  </w:r>
                </w:p>
              </w:tc>
              <w:tc>
                <w:tcPr>
                  <w:tcW w:w="636" w:type="pct"/>
                  <w:vMerge w:val="continue"/>
                  <w:tcBorders>
                    <w:tl2br w:val="nil"/>
                    <w:tr2bl w:val="nil"/>
                  </w:tcBorders>
                  <w:vAlign w:val="center"/>
                </w:tcPr>
                <w:p>
                  <w:pPr>
                    <w:pStyle w:val="2"/>
                    <w:spacing w:before="8" w:line="240" w:lineRule="auto"/>
                    <w:ind w:right="157"/>
                    <w:jc w:val="center"/>
                    <w:rPr>
                      <w:rFonts w:hint="default" w:ascii="Times New Roman" w:hAnsi="Times New Roman" w:eastAsia="宋体" w:cs="Times New Roman"/>
                      <w:sz w:val="21"/>
                      <w:szCs w:val="21"/>
                      <w:vertAlign w:val="baseline"/>
                      <w:lang w:eastAsia="zh-CN"/>
                    </w:rPr>
                  </w:pPr>
                </w:p>
              </w:tc>
            </w:tr>
          </w:tbl>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center"/>
              <w:textAlignment w:val="auto"/>
              <w:rPr>
                <w:rFonts w:hint="eastAsia"/>
                <w:sz w:val="28"/>
                <w:szCs w:val="28"/>
                <w:lang w:val="en-US"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3</w:t>
            </w:r>
            <w:r>
              <w:rPr>
                <w:rFonts w:hint="default" w:ascii="Times New Roman" w:hAnsi="Times New Roman" w:eastAsia="宋体" w:cs="Times New Roman"/>
                <w:b/>
                <w:bCs/>
                <w:sz w:val="24"/>
                <w:szCs w:val="24"/>
                <w:lang w:eastAsia="zh-CN"/>
              </w:rPr>
              <w:t xml:space="preserve">   项目</w:t>
            </w:r>
            <w:r>
              <w:rPr>
                <w:rFonts w:hint="eastAsia" w:ascii="Times New Roman" w:hAnsi="Times New Roman" w:eastAsia="宋体" w:cs="Times New Roman"/>
                <w:b/>
                <w:bCs/>
                <w:sz w:val="24"/>
                <w:szCs w:val="24"/>
                <w:lang w:eastAsia="zh-CN"/>
              </w:rPr>
              <w:t>实际建设</w:t>
            </w:r>
            <w:r>
              <w:rPr>
                <w:rFonts w:hint="default" w:ascii="Times New Roman" w:hAnsi="Times New Roman" w:eastAsia="宋体" w:cs="Times New Roman"/>
                <w:b/>
                <w:bCs/>
                <w:sz w:val="24"/>
                <w:szCs w:val="24"/>
                <w:lang w:eastAsia="zh-CN"/>
              </w:rPr>
              <w:t>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7"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2"/>
                      <w:szCs w:val="22"/>
                      <w:vertAlign w:val="baseline"/>
                      <w:lang w:val="en-US" w:eastAsia="zh-CN"/>
                    </w:rPr>
                  </w:pPr>
                  <w:r>
                    <w:rPr>
                      <w:rFonts w:hint="eastAsia"/>
                      <w:sz w:val="22"/>
                      <w:szCs w:val="22"/>
                      <w:vertAlign w:val="baseline"/>
                      <w:lang w:val="en-US" w:eastAsia="zh-CN"/>
                    </w:rPr>
                    <w:t>建设内容</w:t>
                  </w:r>
                </w:p>
              </w:tc>
              <w:tc>
                <w:tcPr>
                  <w:tcW w:w="7334"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2"/>
                      <w:szCs w:val="22"/>
                      <w:vertAlign w:val="baseline"/>
                      <w:lang w:val="en-US" w:eastAsia="zh-CN"/>
                    </w:rPr>
                  </w:pPr>
                  <w:r>
                    <w:rPr>
                      <w:rFonts w:hint="eastAsia"/>
                      <w:sz w:val="22"/>
                      <w:szCs w:val="22"/>
                      <w:vertAlign w:val="baseline"/>
                      <w:lang w:val="en-US"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7"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2"/>
                      <w:szCs w:val="22"/>
                      <w:vertAlign w:val="baseline"/>
                      <w:lang w:val="en-US" w:eastAsia="zh-CN"/>
                    </w:rPr>
                  </w:pPr>
                  <w:r>
                    <w:rPr>
                      <w:rFonts w:hint="eastAsia"/>
                      <w:sz w:val="22"/>
                      <w:szCs w:val="22"/>
                      <w:vertAlign w:val="baseline"/>
                      <w:lang w:val="en-US" w:eastAsia="zh-CN"/>
                    </w:rPr>
                    <w:t>生产装置</w:t>
                  </w:r>
                </w:p>
              </w:tc>
              <w:tc>
                <w:tcPr>
                  <w:tcW w:w="7334"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2"/>
                      <w:szCs w:val="22"/>
                      <w:vertAlign w:val="baseline"/>
                      <w:lang w:val="en-US" w:eastAsia="zh-CN"/>
                    </w:rPr>
                  </w:pPr>
                  <w:r>
                    <w:drawing>
                      <wp:inline distT="0" distB="0" distL="114300" distR="114300">
                        <wp:extent cx="3438525" cy="4088130"/>
                        <wp:effectExtent l="0" t="0" r="952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3438525" cy="40881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7"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2"/>
                      <w:szCs w:val="22"/>
                      <w:vertAlign w:val="baseline"/>
                      <w:lang w:val="en-US" w:eastAsia="zh-CN"/>
                    </w:rPr>
                  </w:pPr>
                  <w:r>
                    <w:rPr>
                      <w:rFonts w:hint="eastAsia"/>
                      <w:sz w:val="22"/>
                      <w:szCs w:val="22"/>
                      <w:vertAlign w:val="baseline"/>
                      <w:lang w:val="en-US" w:eastAsia="zh-CN"/>
                    </w:rPr>
                    <w:t>原材料仓库</w:t>
                  </w:r>
                </w:p>
              </w:tc>
              <w:tc>
                <w:tcPr>
                  <w:tcW w:w="7334"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2"/>
                      <w:szCs w:val="22"/>
                      <w:vertAlign w:val="baseline"/>
                      <w:lang w:val="en-US" w:eastAsia="zh-CN"/>
                    </w:rPr>
                  </w:pPr>
                  <w:r>
                    <w:drawing>
                      <wp:inline distT="0" distB="0" distL="114300" distR="114300">
                        <wp:extent cx="4031615" cy="3657600"/>
                        <wp:effectExtent l="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4031615" cy="3657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7"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22"/>
                      <w:szCs w:val="22"/>
                      <w:vertAlign w:val="baseline"/>
                      <w:lang w:val="en-US" w:eastAsia="zh-CN"/>
                    </w:rPr>
                  </w:pPr>
                  <w:r>
                    <w:rPr>
                      <w:rFonts w:hint="eastAsia" w:cs="Times New Roman"/>
                      <w:color w:val="auto"/>
                      <w:sz w:val="21"/>
                      <w:szCs w:val="21"/>
                      <w:highlight w:val="none"/>
                      <w:u w:val="none"/>
                      <w:lang w:eastAsia="zh-CN"/>
                    </w:rPr>
                    <w:t>成品仓库</w:t>
                  </w:r>
                </w:p>
              </w:tc>
              <w:tc>
                <w:tcPr>
                  <w:tcW w:w="7334"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pPr>
                  <w:r>
                    <w:drawing>
                      <wp:inline distT="0" distB="0" distL="114300" distR="114300">
                        <wp:extent cx="4041140" cy="4076700"/>
                        <wp:effectExtent l="0" t="0" r="1651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4041140" cy="4076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7"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Times New Roman"/>
                      <w:color w:val="auto"/>
                      <w:sz w:val="21"/>
                      <w:szCs w:val="21"/>
                      <w:highlight w:val="none"/>
                      <w:u w:val="none"/>
                      <w:lang w:eastAsia="zh-CN"/>
                    </w:rPr>
                  </w:pPr>
                  <w:r>
                    <w:rPr>
                      <w:rFonts w:hint="eastAsia" w:cs="Times New Roman"/>
                      <w:color w:val="auto"/>
                      <w:sz w:val="21"/>
                      <w:szCs w:val="21"/>
                      <w:highlight w:val="none"/>
                      <w:u w:val="none"/>
                      <w:lang w:eastAsia="zh-CN"/>
                    </w:rPr>
                    <w:t>化粪池</w:t>
                  </w:r>
                </w:p>
              </w:tc>
              <w:tc>
                <w:tcPr>
                  <w:tcW w:w="7334"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pPr>
                  <w:r>
                    <w:drawing>
                      <wp:inline distT="0" distB="0" distL="114300" distR="114300">
                        <wp:extent cx="4267200" cy="3248025"/>
                        <wp:effectExtent l="0" t="0" r="0"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4267200" cy="3248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37"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一般固废暂存间</w:t>
                  </w:r>
                </w:p>
              </w:tc>
              <w:tc>
                <w:tcPr>
                  <w:tcW w:w="7334" w:type="dxa"/>
                  <w:tcBorders>
                    <w:tl2br w:val="nil"/>
                    <w:tr2bl w:val="nil"/>
                  </w:tcBorders>
                  <w:vAlign w:val="center"/>
                </w:tcPr>
                <w:p>
                  <w:pPr>
                    <w:pStyle w:val="10"/>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pPr>
                  <w:r>
                    <w:drawing>
                      <wp:inline distT="0" distB="0" distL="114300" distR="114300">
                        <wp:extent cx="4303395" cy="3105785"/>
                        <wp:effectExtent l="0" t="0" r="1905" b="1841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3"/>
                                <a:stretch>
                                  <a:fillRect/>
                                </a:stretch>
                              </pic:blipFill>
                              <pic:spPr>
                                <a:xfrm>
                                  <a:off x="0" y="0"/>
                                  <a:ext cx="4303395" cy="3105785"/>
                                </a:xfrm>
                                <a:prstGeom prst="rect">
                                  <a:avLst/>
                                </a:prstGeom>
                                <a:noFill/>
                                <a:ln>
                                  <a:noFill/>
                                </a:ln>
                              </pic:spPr>
                            </pic:pic>
                          </a:graphicData>
                        </a:graphic>
                      </wp:inline>
                    </w:drawing>
                  </w:r>
                </w:p>
              </w:tc>
            </w:tr>
          </w:tbl>
          <w:p>
            <w:pPr>
              <w:pStyle w:val="10"/>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sz w:val="28"/>
                <w:szCs w:val="28"/>
                <w:lang w:val="en-US" w:eastAsia="zh-CN"/>
              </w:rPr>
            </w:pP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eastAsia="宋体"/>
                <w:sz w:val="28"/>
                <w:szCs w:val="28"/>
                <w:lang w:val="en-US" w:eastAsia="zh-CN"/>
              </w:rPr>
            </w:pPr>
            <w:r>
              <w:rPr>
                <w:rFonts w:hint="eastAsia"/>
                <w:sz w:val="28"/>
                <w:szCs w:val="28"/>
                <w:lang w:val="en-US" w:eastAsia="zh-CN"/>
              </w:rPr>
              <w:t>本项目主要生产设备见下表：</w:t>
            </w:r>
          </w:p>
          <w:p>
            <w:pPr>
              <w:spacing w:line="360" w:lineRule="auto"/>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4</w:t>
            </w:r>
            <w:r>
              <w:rPr>
                <w:rFonts w:hint="default" w:ascii="Times New Roman" w:hAnsi="Times New Roman" w:eastAsia="宋体" w:cs="Times New Roman"/>
                <w:b/>
                <w:bCs/>
                <w:sz w:val="24"/>
                <w:szCs w:val="24"/>
                <w:lang w:eastAsia="zh-CN"/>
              </w:rPr>
              <w:t xml:space="preserve">   项目主要生产设备配置一览表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933"/>
              <w:gridCol w:w="1015"/>
              <w:gridCol w:w="718"/>
              <w:gridCol w:w="700"/>
              <w:gridCol w:w="733"/>
              <w:gridCol w:w="285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553"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477"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规格</w:t>
                  </w:r>
                </w:p>
              </w:tc>
              <w:tc>
                <w:tcPr>
                  <w:tcW w:w="42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单位</w:t>
                  </w:r>
                </w:p>
              </w:tc>
              <w:tc>
                <w:tcPr>
                  <w:tcW w:w="41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数量</w:t>
                  </w:r>
                </w:p>
              </w:tc>
              <w:tc>
                <w:tcPr>
                  <w:tcW w:w="43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产地</w:t>
                  </w:r>
                </w:p>
              </w:tc>
              <w:tc>
                <w:tcPr>
                  <w:tcW w:w="1660"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备注</w:t>
                  </w:r>
                </w:p>
              </w:tc>
              <w:tc>
                <w:tcPr>
                  <w:tcW w:w="66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6" w:hRule="atLeast"/>
              </w:trPr>
              <w:tc>
                <w:tcPr>
                  <w:tcW w:w="351"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553"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大型配料桶</w:t>
                  </w:r>
                </w:p>
              </w:tc>
              <w:tc>
                <w:tcPr>
                  <w:tcW w:w="477"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5T</w:t>
                  </w:r>
                </w:p>
              </w:tc>
              <w:tc>
                <w:tcPr>
                  <w:tcW w:w="42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只</w:t>
                  </w:r>
                </w:p>
              </w:tc>
              <w:tc>
                <w:tcPr>
                  <w:tcW w:w="41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3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云溪</w:t>
                  </w:r>
                </w:p>
              </w:tc>
              <w:tc>
                <w:tcPr>
                  <w:tcW w:w="1660"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eastAsia"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rPr>
                    <w:t>配料系统</w:t>
                  </w:r>
                  <w:r>
                    <w:rPr>
                      <w:rFonts w:hint="eastAsia" w:cs="Times New Roman"/>
                      <w:kern w:val="0"/>
                      <w:sz w:val="21"/>
                      <w:szCs w:val="21"/>
                      <w:u w:val="none"/>
                      <w:lang w:eastAsia="zh-CN"/>
                    </w:rPr>
                    <w:t>，现有设备15L全自动小种子罐</w:t>
                  </w:r>
                  <w:r>
                    <w:rPr>
                      <w:rFonts w:hint="eastAsia" w:cs="Times New Roman"/>
                      <w:kern w:val="0"/>
                      <w:sz w:val="21"/>
                      <w:szCs w:val="21"/>
                      <w:u w:val="none"/>
                      <w:lang w:val="en-US" w:eastAsia="zh-CN"/>
                    </w:rPr>
                    <w:t>1个（现有共2个）</w:t>
                  </w:r>
                  <w:r>
                    <w:rPr>
                      <w:rFonts w:hint="eastAsia" w:cs="Times New Roman"/>
                      <w:kern w:val="0"/>
                      <w:sz w:val="21"/>
                      <w:szCs w:val="21"/>
                      <w:u w:val="none"/>
                      <w:lang w:eastAsia="zh-CN"/>
                    </w:rPr>
                    <w:t>升级改造而成</w:t>
                  </w:r>
                </w:p>
              </w:tc>
              <w:tc>
                <w:tcPr>
                  <w:tcW w:w="66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利旧</w:t>
                  </w:r>
                </w:p>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553"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小型配料桶</w:t>
                  </w:r>
                </w:p>
              </w:tc>
              <w:tc>
                <w:tcPr>
                  <w:tcW w:w="477"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1T</w:t>
                  </w:r>
                </w:p>
              </w:tc>
              <w:tc>
                <w:tcPr>
                  <w:tcW w:w="42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只</w:t>
                  </w:r>
                </w:p>
              </w:tc>
              <w:tc>
                <w:tcPr>
                  <w:tcW w:w="41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3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云溪</w:t>
                  </w:r>
                </w:p>
              </w:tc>
              <w:tc>
                <w:tcPr>
                  <w:tcW w:w="1660"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eastAsia"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rPr>
                    <w:t>配料系统</w:t>
                  </w:r>
                  <w:r>
                    <w:rPr>
                      <w:rFonts w:hint="eastAsia" w:cs="Times New Roman"/>
                      <w:kern w:val="0"/>
                      <w:sz w:val="21"/>
                      <w:szCs w:val="21"/>
                      <w:u w:val="none"/>
                      <w:lang w:eastAsia="zh-CN"/>
                    </w:rPr>
                    <w:t>，现有设备500L温控自动发酵罐</w:t>
                  </w:r>
                  <w:r>
                    <w:rPr>
                      <w:rFonts w:hint="eastAsia" w:cs="Times New Roman"/>
                      <w:kern w:val="0"/>
                      <w:sz w:val="21"/>
                      <w:szCs w:val="21"/>
                      <w:u w:val="none"/>
                      <w:lang w:val="en-US" w:eastAsia="zh-CN"/>
                    </w:rPr>
                    <w:t>1个（现有共2个）</w:t>
                  </w:r>
                  <w:r>
                    <w:rPr>
                      <w:rFonts w:hint="eastAsia" w:cs="Times New Roman"/>
                      <w:kern w:val="0"/>
                      <w:sz w:val="21"/>
                      <w:szCs w:val="21"/>
                      <w:u w:val="none"/>
                      <w:lang w:eastAsia="zh-CN"/>
                    </w:rPr>
                    <w:t>升级改造而成</w:t>
                  </w:r>
                </w:p>
              </w:tc>
              <w:tc>
                <w:tcPr>
                  <w:tcW w:w="66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利旧</w:t>
                  </w:r>
                </w:p>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553"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空气压缩机</w:t>
                  </w:r>
                </w:p>
              </w:tc>
              <w:tc>
                <w:tcPr>
                  <w:tcW w:w="477"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W-0.98/8</w:t>
                  </w:r>
                </w:p>
              </w:tc>
              <w:tc>
                <w:tcPr>
                  <w:tcW w:w="42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1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3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上海</w:t>
                  </w:r>
                </w:p>
              </w:tc>
              <w:tc>
                <w:tcPr>
                  <w:tcW w:w="1660"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搅拌系统</w:t>
                  </w:r>
                </w:p>
              </w:tc>
              <w:tc>
                <w:tcPr>
                  <w:tcW w:w="66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1" w:hRule="atLeast"/>
              </w:trPr>
              <w:tc>
                <w:tcPr>
                  <w:tcW w:w="351"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553"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除水器</w:t>
                  </w:r>
                </w:p>
              </w:tc>
              <w:tc>
                <w:tcPr>
                  <w:tcW w:w="477"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B500/0.8</w:t>
                  </w:r>
                </w:p>
              </w:tc>
              <w:tc>
                <w:tcPr>
                  <w:tcW w:w="42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1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3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厦门</w:t>
                  </w:r>
                </w:p>
              </w:tc>
              <w:tc>
                <w:tcPr>
                  <w:tcW w:w="1660"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搅拌系统</w:t>
                  </w:r>
                </w:p>
              </w:tc>
              <w:tc>
                <w:tcPr>
                  <w:tcW w:w="66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u w:val="none"/>
                      <w:lang w:val="en-US" w:eastAsia="zh-CN" w:bidi="ar-SA"/>
                    </w:rPr>
                  </w:pPr>
                  <w:r>
                    <w:rPr>
                      <w:rFonts w:hint="default" w:ascii="Times New Roman" w:hAnsi="Times New Roman" w:eastAsia="宋体" w:cs="Times New Roman"/>
                      <w:kern w:val="0"/>
                      <w:sz w:val="21"/>
                      <w:szCs w:val="21"/>
                      <w:u w:val="non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w:t>
                  </w:r>
                </w:p>
              </w:tc>
              <w:tc>
                <w:tcPr>
                  <w:tcW w:w="553"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空压干燥机</w:t>
                  </w:r>
                </w:p>
              </w:tc>
              <w:tc>
                <w:tcPr>
                  <w:tcW w:w="477"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ED-10F</w:t>
                  </w:r>
                </w:p>
              </w:tc>
              <w:tc>
                <w:tcPr>
                  <w:tcW w:w="42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台</w:t>
                  </w:r>
                </w:p>
              </w:tc>
              <w:tc>
                <w:tcPr>
                  <w:tcW w:w="419"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43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厦门</w:t>
                  </w:r>
                </w:p>
              </w:tc>
              <w:tc>
                <w:tcPr>
                  <w:tcW w:w="1660"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搅拌系统</w:t>
                  </w:r>
                </w:p>
              </w:tc>
              <w:tc>
                <w:tcPr>
                  <w:tcW w:w="668" w:type="pct"/>
                  <w:tcBorders>
                    <w:tl2br w:val="nil"/>
                    <w:tr2bl w:val="nil"/>
                  </w:tcBorders>
                  <w:vAlign w:val="center"/>
                </w:tcPr>
                <w:p>
                  <w:pPr>
                    <w:widowControl/>
                    <w:overflowPunct/>
                    <w:snapToGrid/>
                    <w:spacing w:before="48" w:beforeLines="20" w:after="48" w:afterLines="20" w:line="400" w:lineRule="exact"/>
                    <w:ind w:firstLine="0" w:firstLineChars="0"/>
                    <w:jc w:val="center"/>
                    <w:rPr>
                      <w:rFonts w:hint="default" w:ascii="Times New Roman" w:hAnsi="Times New Roman" w:eastAsia="宋体" w:cs="Times New Roman"/>
                      <w:kern w:val="0"/>
                      <w:sz w:val="21"/>
                      <w:szCs w:val="21"/>
                      <w:u w:val="none"/>
                      <w:lang w:val="en-US" w:eastAsia="zh-CN" w:bidi="ar-SA"/>
                    </w:rPr>
                  </w:pPr>
                  <w:r>
                    <w:rPr>
                      <w:rFonts w:hint="default" w:ascii="Times New Roman" w:hAnsi="Times New Roman" w:eastAsia="宋体" w:cs="Times New Roman"/>
                      <w:kern w:val="0"/>
                      <w:sz w:val="21"/>
                      <w:szCs w:val="21"/>
                      <w:u w:val="none"/>
                      <w:lang w:val="en-US" w:eastAsia="zh-CN"/>
                    </w:rPr>
                    <w:t>利旧</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8"/>
                <w:szCs w:val="28"/>
                <w:lang w:eastAsia="zh-CN"/>
              </w:rPr>
              <w:t>本次竣工验收范围：</w:t>
            </w:r>
            <w:r>
              <w:rPr>
                <w:rFonts w:hint="eastAsia" w:cs="Times New Roman"/>
                <w:sz w:val="28"/>
                <w:szCs w:val="28"/>
                <w:vertAlign w:val="baseline"/>
                <w:lang w:val="en-US" w:eastAsia="zh-CN"/>
              </w:rPr>
              <w:t>岳阳市康源邦尔生物技术有限责任公司年产5000吨中量元素肥料生产线技改项目</w:t>
            </w:r>
            <w:r>
              <w:rPr>
                <w:rFonts w:hint="default" w:ascii="Times New Roman" w:hAnsi="Times New Roman" w:eastAsia="宋体" w:cs="Times New Roman"/>
                <w:sz w:val="28"/>
                <w:szCs w:val="28"/>
                <w:vertAlign w:val="baseline"/>
                <w:lang w:val="en-US" w:eastAsia="zh-CN"/>
              </w:rPr>
              <w:t>的主体</w:t>
            </w:r>
            <w:r>
              <w:rPr>
                <w:rFonts w:hint="eastAsia" w:cs="Times New Roman"/>
                <w:sz w:val="28"/>
                <w:szCs w:val="28"/>
                <w:vertAlign w:val="baseline"/>
                <w:lang w:val="en-US" w:eastAsia="zh-CN"/>
              </w:rPr>
              <w:t>工程</w:t>
            </w:r>
            <w:r>
              <w:rPr>
                <w:rFonts w:hint="default" w:ascii="Times New Roman" w:hAnsi="Times New Roman" w:eastAsia="宋体" w:cs="Times New Roman"/>
                <w:sz w:val="28"/>
                <w:szCs w:val="28"/>
                <w:vertAlign w:val="baseline"/>
                <w:lang w:val="en-US" w:eastAsia="zh-CN"/>
              </w:rPr>
              <w:t>及其配套设施。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7" w:hRule="atLeast"/>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原辅材料消耗及水平衡：</w:t>
            </w:r>
          </w:p>
          <w:p>
            <w:pPr>
              <w:spacing w:line="360" w:lineRule="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1、原辅材料消耗</w:t>
            </w:r>
          </w:p>
          <w:p>
            <w:pPr>
              <w:spacing w:line="360" w:lineRule="auto"/>
              <w:rPr>
                <w:rFonts w:hint="default"/>
                <w:lang w:eastAsia="zh-CN"/>
              </w:rPr>
            </w:pPr>
            <w:r>
              <w:rPr>
                <w:rFonts w:hint="default" w:ascii="Times New Roman" w:hAnsi="Times New Roman" w:eastAsia="宋体" w:cs="Times New Roman"/>
                <w:sz w:val="28"/>
                <w:szCs w:val="28"/>
                <w:lang w:eastAsia="zh-CN"/>
              </w:rPr>
              <w:t xml:space="preserve">  </w:t>
            </w:r>
            <w:r>
              <w:rPr>
                <w:rFonts w:hint="eastAsia" w:cs="Times New Roman"/>
                <w:sz w:val="28"/>
                <w:szCs w:val="28"/>
                <w:lang w:val="en-US" w:eastAsia="zh-CN"/>
              </w:rPr>
              <w:t xml:space="preserve"> </w:t>
            </w:r>
            <w:r>
              <w:rPr>
                <w:rFonts w:hint="eastAsia" w:cs="Times New Roman"/>
                <w:sz w:val="28"/>
                <w:szCs w:val="28"/>
                <w:lang w:eastAsia="zh-CN"/>
              </w:rPr>
              <w:t>根据</w:t>
            </w:r>
            <w:r>
              <w:rPr>
                <w:rFonts w:hint="default" w:ascii="Times New Roman" w:hAnsi="Times New Roman" w:eastAsia="宋体" w:cs="Times New Roman"/>
                <w:color w:val="auto"/>
                <w:sz w:val="28"/>
                <w:szCs w:val="28"/>
                <w:lang w:val="en-US" w:eastAsia="zh-CN"/>
              </w:rPr>
              <w:t>《</w:t>
            </w:r>
            <w:r>
              <w:rPr>
                <w:rFonts w:hint="eastAsia" w:cs="Times New Roman"/>
                <w:color w:val="auto"/>
                <w:sz w:val="28"/>
                <w:szCs w:val="28"/>
                <w:lang w:val="en-US" w:eastAsia="zh-CN"/>
              </w:rPr>
              <w:t>年产5000吨中量元素肥料生产线技改项目</w:t>
            </w:r>
            <w:r>
              <w:rPr>
                <w:rFonts w:hint="default" w:ascii="Times New Roman" w:hAnsi="Times New Roman" w:eastAsia="宋体" w:cs="Times New Roman"/>
                <w:color w:val="auto"/>
                <w:sz w:val="28"/>
                <w:szCs w:val="28"/>
                <w:lang w:val="en-US" w:eastAsia="zh-CN"/>
              </w:rPr>
              <w:t>环境影响报告表》</w:t>
            </w:r>
            <w:r>
              <w:rPr>
                <w:rFonts w:hint="default" w:ascii="Times New Roman" w:hAnsi="Times New Roman" w:eastAsia="宋体" w:cs="Times New Roman"/>
                <w:sz w:val="28"/>
                <w:szCs w:val="28"/>
                <w:lang w:eastAsia="zh-CN"/>
              </w:rPr>
              <w:t>本项目主要原辅料消耗情况见下表。</w:t>
            </w:r>
          </w:p>
          <w:p>
            <w:pPr>
              <w:spacing w:line="360" w:lineRule="auto"/>
              <w:ind w:firstLine="422"/>
              <w:jc w:val="center"/>
              <w:rPr>
                <w:rFonts w:hint="default"/>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5</w:t>
            </w:r>
            <w:r>
              <w:rPr>
                <w:rFonts w:hint="default" w:ascii="Times New Roman" w:hAnsi="Times New Roman" w:eastAsia="宋体" w:cs="Times New Roman"/>
                <w:b/>
                <w:bCs/>
                <w:sz w:val="24"/>
                <w:szCs w:val="24"/>
                <w:lang w:eastAsia="zh-CN"/>
              </w:rPr>
              <w:t xml:space="preserve">  项目原辅料消耗情况表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889"/>
              <w:gridCol w:w="1269"/>
              <w:gridCol w:w="1231"/>
              <w:gridCol w:w="1713"/>
              <w:gridCol w:w="1713"/>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3" w:type="pct"/>
                  <w:tcBorders>
                    <w:tl2br w:val="nil"/>
                    <w:tr2bl w:val="nil"/>
                  </w:tcBorders>
                  <w:vAlign w:val="center"/>
                </w:tcPr>
                <w:p>
                  <w:pPr>
                    <w:pStyle w:val="36"/>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序号</w:t>
                  </w:r>
                </w:p>
              </w:tc>
              <w:tc>
                <w:tcPr>
                  <w:tcW w:w="512" w:type="pct"/>
                  <w:tcBorders>
                    <w:tl2br w:val="nil"/>
                    <w:tr2bl w:val="nil"/>
                  </w:tcBorders>
                  <w:vAlign w:val="center"/>
                </w:tcPr>
                <w:p>
                  <w:pPr>
                    <w:pStyle w:val="36"/>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名称</w:t>
                  </w:r>
                </w:p>
              </w:tc>
              <w:tc>
                <w:tcPr>
                  <w:tcW w:w="731" w:type="pct"/>
                  <w:tcBorders>
                    <w:tl2br w:val="nil"/>
                    <w:tr2bl w:val="nil"/>
                  </w:tcBorders>
                  <w:vAlign w:val="center"/>
                </w:tcPr>
                <w:p>
                  <w:pPr>
                    <w:pStyle w:val="36"/>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环评设计年消耗量</w:t>
                  </w:r>
                </w:p>
              </w:tc>
              <w:tc>
                <w:tcPr>
                  <w:tcW w:w="709" w:type="pct"/>
                  <w:tcBorders>
                    <w:tl2br w:val="nil"/>
                    <w:tr2bl w:val="nil"/>
                  </w:tcBorders>
                  <w:vAlign w:val="center"/>
                </w:tcPr>
                <w:p>
                  <w:pPr>
                    <w:pStyle w:val="36"/>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实际年消耗量</w:t>
                  </w:r>
                </w:p>
              </w:tc>
              <w:tc>
                <w:tcPr>
                  <w:tcW w:w="987" w:type="pct"/>
                  <w:tcBorders>
                    <w:tl2br w:val="nil"/>
                    <w:tr2bl w:val="nil"/>
                  </w:tcBorders>
                  <w:vAlign w:val="center"/>
                </w:tcPr>
                <w:p>
                  <w:pPr>
                    <w:pStyle w:val="36"/>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验收期间消耗量（</w:t>
                  </w:r>
                  <w:r>
                    <w:rPr>
                      <w:rFonts w:hint="eastAsia" w:cs="Times New Roman"/>
                      <w:b/>
                      <w:bCs/>
                      <w:color w:val="auto"/>
                      <w:highlight w:val="none"/>
                      <w:lang w:val="en-US" w:eastAsia="zh-CN"/>
                    </w:rPr>
                    <w:t>10.27</w:t>
                  </w:r>
                  <w:r>
                    <w:rPr>
                      <w:rFonts w:hint="default" w:ascii="Times New Roman" w:hAnsi="Times New Roman" w:eastAsia="宋体" w:cs="Times New Roman"/>
                      <w:b/>
                      <w:bCs/>
                      <w:color w:val="auto"/>
                      <w:highlight w:val="none"/>
                      <w:lang w:eastAsia="zh-CN"/>
                    </w:rPr>
                    <w:t>）</w:t>
                  </w:r>
                </w:p>
              </w:tc>
              <w:tc>
                <w:tcPr>
                  <w:tcW w:w="987" w:type="pct"/>
                  <w:tcBorders>
                    <w:tl2br w:val="nil"/>
                    <w:tr2bl w:val="nil"/>
                  </w:tcBorders>
                  <w:vAlign w:val="center"/>
                </w:tcPr>
                <w:p>
                  <w:pPr>
                    <w:pStyle w:val="36"/>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验收期间消耗量（</w:t>
                  </w:r>
                  <w:r>
                    <w:rPr>
                      <w:rFonts w:hint="eastAsia" w:cs="Times New Roman"/>
                      <w:b/>
                      <w:bCs/>
                      <w:color w:val="auto"/>
                      <w:highlight w:val="none"/>
                      <w:lang w:val="en-US" w:eastAsia="zh-CN"/>
                    </w:rPr>
                    <w:t>10.28</w:t>
                  </w:r>
                  <w:r>
                    <w:rPr>
                      <w:rFonts w:hint="default" w:ascii="Times New Roman" w:hAnsi="Times New Roman" w:eastAsia="宋体" w:cs="Times New Roman"/>
                      <w:b/>
                      <w:bCs/>
                      <w:color w:val="auto"/>
                      <w:highlight w:val="none"/>
                      <w:lang w:eastAsia="zh-CN"/>
                    </w:rPr>
                    <w:t>）</w:t>
                  </w:r>
                </w:p>
              </w:tc>
              <w:tc>
                <w:tcPr>
                  <w:tcW w:w="766" w:type="pct"/>
                  <w:tcBorders>
                    <w:tl2br w:val="nil"/>
                    <w:tr2bl w:val="nil"/>
                  </w:tcBorders>
                  <w:vAlign w:val="center"/>
                </w:tcPr>
                <w:p>
                  <w:pPr>
                    <w:pStyle w:val="36"/>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tcBorders>
                    <w:tl2br w:val="nil"/>
                    <w:tr2bl w:val="nil"/>
                  </w:tcBorders>
                  <w:vAlign w:val="center"/>
                </w:tcPr>
                <w:p>
                  <w:pPr>
                    <w:pStyle w:val="36"/>
                    <w:rPr>
                      <w:rFonts w:hint="default" w:ascii="Times New Roman" w:hAnsi="Times New Roman" w:eastAsia="宋体" w:cs="Times New Roman"/>
                      <w:lang w:eastAsia="zh-CN"/>
                    </w:rPr>
                  </w:pPr>
                  <w:r>
                    <w:rPr>
                      <w:rFonts w:hint="default" w:ascii="Times New Roman" w:hAnsi="Times New Roman" w:eastAsia="宋体" w:cs="Times New Roman"/>
                      <w:lang w:eastAsia="zh-CN"/>
                    </w:rPr>
                    <w:t>1</w:t>
                  </w:r>
                </w:p>
              </w:tc>
              <w:tc>
                <w:tcPr>
                  <w:tcW w:w="512" w:type="pct"/>
                  <w:tcBorders>
                    <w:tl2br w:val="nil"/>
                    <w:tr2bl w:val="nil"/>
                  </w:tcBorders>
                  <w:vAlign w:val="center"/>
                </w:tcPr>
                <w:p>
                  <w:pPr>
                    <w:widowControl/>
                    <w:spacing w:line="400" w:lineRule="exact"/>
                    <w:ind w:firstLine="0" w:firstLineChars="0"/>
                    <w:jc w:val="center"/>
                    <w:textAlignment w:val="center"/>
                    <w:rPr>
                      <w:rFonts w:hint="eastAsia" w:ascii="Times New Roman" w:hAnsi="Times New Roman" w:eastAsia="宋体"/>
                      <w:kern w:val="0"/>
                      <w:sz w:val="21"/>
                      <w:szCs w:val="21"/>
                    </w:rPr>
                  </w:pPr>
                  <w:r>
                    <w:rPr>
                      <w:rFonts w:hint="eastAsia" w:ascii="Times New Roman" w:hAnsi="Times New Roman" w:eastAsia="宋体"/>
                      <w:kern w:val="0"/>
                      <w:sz w:val="21"/>
                      <w:szCs w:val="21"/>
                    </w:rPr>
                    <w:t>硅酸钾</w:t>
                  </w:r>
                </w:p>
                <w:p>
                  <w:pPr>
                    <w:widowControl/>
                    <w:spacing w:line="400" w:lineRule="exact"/>
                    <w:ind w:firstLine="0" w:firstLineChars="0"/>
                    <w:jc w:val="center"/>
                    <w:textAlignment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rPr>
                    <w:t>溶液</w:t>
                  </w:r>
                </w:p>
              </w:tc>
              <w:tc>
                <w:tcPr>
                  <w:tcW w:w="731" w:type="pct"/>
                  <w:tcBorders>
                    <w:tl2br w:val="nil"/>
                    <w:tr2bl w:val="nil"/>
                  </w:tcBorders>
                  <w:vAlign w:val="center"/>
                </w:tcPr>
                <w:p>
                  <w:pPr>
                    <w:widowControl/>
                    <w:spacing w:line="400" w:lineRule="exact"/>
                    <w:ind w:firstLine="0" w:firstLineChars="0"/>
                    <w:jc w:val="center"/>
                    <w:textAlignment w:val="center"/>
                    <w:rPr>
                      <w:rFonts w:hint="default" w:ascii="Times New Roman" w:hAnsi="Times New Roman" w:eastAsia="宋体" w:cs="Noto Sans Mono CJK JP Regular"/>
                      <w:kern w:val="0"/>
                      <w:sz w:val="21"/>
                      <w:szCs w:val="21"/>
                      <w:lang w:val="en-US" w:eastAsia="zh-CN" w:bidi="ar-SA"/>
                    </w:rPr>
                  </w:pPr>
                  <w:r>
                    <w:rPr>
                      <w:rFonts w:hint="eastAsia" w:ascii="Times New Roman"/>
                      <w:kern w:val="0"/>
                      <w:sz w:val="21"/>
                      <w:szCs w:val="21"/>
                    </w:rPr>
                    <w:t>3750</w:t>
                  </w:r>
                </w:p>
              </w:tc>
              <w:tc>
                <w:tcPr>
                  <w:tcW w:w="709" w:type="pct"/>
                  <w:tcBorders>
                    <w:tl2br w:val="nil"/>
                    <w:tr2bl w:val="nil"/>
                  </w:tcBorders>
                  <w:vAlign w:val="center"/>
                </w:tcPr>
                <w:p>
                  <w:pPr>
                    <w:widowControl/>
                    <w:spacing w:line="400" w:lineRule="exact"/>
                    <w:ind w:firstLine="0" w:firstLineChars="0"/>
                    <w:jc w:val="center"/>
                    <w:textAlignment w:val="center"/>
                    <w:rPr>
                      <w:rFonts w:hint="default" w:ascii="Times New Roman" w:hAnsi="Times New Roman" w:eastAsia="宋体" w:cs="Noto Sans Mono CJK JP Regular"/>
                      <w:kern w:val="0"/>
                      <w:sz w:val="21"/>
                      <w:szCs w:val="21"/>
                      <w:lang w:val="en-US" w:eastAsia="zh-CN" w:bidi="ar-SA"/>
                    </w:rPr>
                  </w:pPr>
                  <w:r>
                    <w:rPr>
                      <w:rFonts w:hint="eastAsia" w:ascii="Times New Roman"/>
                      <w:kern w:val="0"/>
                      <w:sz w:val="21"/>
                      <w:szCs w:val="21"/>
                    </w:rPr>
                    <w:t>3750</w:t>
                  </w:r>
                </w:p>
              </w:tc>
              <w:tc>
                <w:tcPr>
                  <w:tcW w:w="98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11.3t</w:t>
                  </w:r>
                </w:p>
              </w:tc>
              <w:tc>
                <w:tcPr>
                  <w:tcW w:w="98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11.3t</w:t>
                  </w:r>
                </w:p>
              </w:tc>
              <w:tc>
                <w:tcPr>
                  <w:tcW w:w="766" w:type="pct"/>
                  <w:tcBorders>
                    <w:tl2br w:val="nil"/>
                    <w:tr2bl w:val="nil"/>
                  </w:tcBorders>
                  <w:vAlign w:val="center"/>
                </w:tcPr>
                <w:p>
                  <w:pPr>
                    <w:pStyle w:val="36"/>
                    <w:rPr>
                      <w:rFonts w:hint="default" w:ascii="Times New Roman" w:hAnsi="Times New Roman" w:eastAsia="宋体" w:cs="Times New Roman"/>
                      <w:lang w:eastAsia="zh-CN"/>
                    </w:rPr>
                  </w:pPr>
                  <w:r>
                    <w:rPr>
                      <w:rFonts w:hint="default" w:ascii="Times New Roman" w:hAnsi="Times New Roman" w:eastAsia="宋体" w:cs="Times New Roman"/>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3" w:type="pct"/>
                  <w:tcBorders>
                    <w:tl2br w:val="nil"/>
                    <w:tr2bl w:val="nil"/>
                  </w:tcBorders>
                  <w:vAlign w:val="center"/>
                </w:tcPr>
                <w:p>
                  <w:pPr>
                    <w:pStyle w:val="36"/>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2</w:t>
                  </w:r>
                </w:p>
              </w:tc>
              <w:tc>
                <w:tcPr>
                  <w:tcW w:w="512" w:type="pct"/>
                  <w:tcBorders>
                    <w:tl2br w:val="nil"/>
                    <w:tr2bl w:val="nil"/>
                  </w:tcBorders>
                  <w:vAlign w:val="center"/>
                </w:tcPr>
                <w:p>
                  <w:pPr>
                    <w:widowControl/>
                    <w:spacing w:line="400" w:lineRule="exact"/>
                    <w:ind w:firstLine="0" w:firstLineChars="0"/>
                    <w:jc w:val="center"/>
                    <w:textAlignment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rPr>
                    <w:t>黄腐酸</w:t>
                  </w:r>
                </w:p>
              </w:tc>
              <w:tc>
                <w:tcPr>
                  <w:tcW w:w="731" w:type="pct"/>
                  <w:tcBorders>
                    <w:tl2br w:val="nil"/>
                    <w:tr2bl w:val="nil"/>
                  </w:tcBorders>
                  <w:vAlign w:val="center"/>
                </w:tcPr>
                <w:p>
                  <w:pPr>
                    <w:widowControl/>
                    <w:spacing w:line="400" w:lineRule="exact"/>
                    <w:ind w:firstLine="0" w:firstLineChars="0"/>
                    <w:jc w:val="center"/>
                    <w:textAlignment w:val="center"/>
                    <w:rPr>
                      <w:rFonts w:hint="default" w:ascii="Times New Roman" w:hAnsi="Times New Roman" w:eastAsia="宋体" w:cs="Noto Sans Mono CJK JP Regular"/>
                      <w:kern w:val="0"/>
                      <w:sz w:val="21"/>
                      <w:szCs w:val="21"/>
                      <w:lang w:val="en-US" w:eastAsia="zh-CN" w:bidi="ar-SA"/>
                    </w:rPr>
                  </w:pPr>
                  <w:r>
                    <w:rPr>
                      <w:rFonts w:hint="eastAsia" w:ascii="Times New Roman"/>
                      <w:kern w:val="0"/>
                      <w:sz w:val="21"/>
                      <w:szCs w:val="21"/>
                    </w:rPr>
                    <w:t>250</w:t>
                  </w:r>
                </w:p>
              </w:tc>
              <w:tc>
                <w:tcPr>
                  <w:tcW w:w="709" w:type="pct"/>
                  <w:tcBorders>
                    <w:tl2br w:val="nil"/>
                    <w:tr2bl w:val="nil"/>
                  </w:tcBorders>
                  <w:vAlign w:val="center"/>
                </w:tcPr>
                <w:p>
                  <w:pPr>
                    <w:widowControl/>
                    <w:spacing w:line="400" w:lineRule="exact"/>
                    <w:ind w:firstLine="0" w:firstLineChars="0"/>
                    <w:jc w:val="center"/>
                    <w:textAlignment w:val="center"/>
                    <w:rPr>
                      <w:rFonts w:hint="default" w:ascii="Times New Roman" w:hAnsi="Times New Roman" w:eastAsia="宋体" w:cs="Noto Sans Mono CJK JP Regular"/>
                      <w:kern w:val="0"/>
                      <w:sz w:val="21"/>
                      <w:szCs w:val="21"/>
                      <w:lang w:val="en-US" w:eastAsia="zh-CN" w:bidi="ar-SA"/>
                    </w:rPr>
                  </w:pPr>
                  <w:r>
                    <w:rPr>
                      <w:rFonts w:hint="eastAsia" w:ascii="Times New Roman"/>
                      <w:kern w:val="0"/>
                      <w:sz w:val="21"/>
                      <w:szCs w:val="21"/>
                    </w:rPr>
                    <w:t>250</w:t>
                  </w:r>
                </w:p>
              </w:tc>
              <w:tc>
                <w:tcPr>
                  <w:tcW w:w="98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0.75t</w:t>
                  </w:r>
                </w:p>
              </w:tc>
              <w:tc>
                <w:tcPr>
                  <w:tcW w:w="98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0.75t</w:t>
                  </w:r>
                </w:p>
              </w:tc>
              <w:tc>
                <w:tcPr>
                  <w:tcW w:w="766" w:type="pct"/>
                  <w:tcBorders>
                    <w:tl2br w:val="nil"/>
                    <w:tr2bl w:val="nil"/>
                  </w:tcBorders>
                  <w:vAlign w:val="center"/>
                </w:tcPr>
                <w:p>
                  <w:pPr>
                    <w:pStyle w:val="36"/>
                    <w:rPr>
                      <w:rFonts w:hint="default" w:ascii="Times New Roman" w:hAnsi="Times New Roman" w:eastAsia="宋体" w:cs="Times New Roman"/>
                      <w:lang w:eastAsia="zh-CN"/>
                    </w:rPr>
                  </w:pPr>
                  <w:r>
                    <w:rPr>
                      <w:rFonts w:hint="default" w:ascii="Times New Roman" w:hAnsi="Times New Roman" w:eastAsia="宋体" w:cs="Times New Roman"/>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3" w:type="pct"/>
                  <w:tcBorders>
                    <w:tl2br w:val="nil"/>
                    <w:tr2bl w:val="nil"/>
                  </w:tcBorders>
                  <w:vAlign w:val="center"/>
                </w:tcPr>
                <w:p>
                  <w:pPr>
                    <w:pStyle w:val="36"/>
                    <w:rPr>
                      <w:rFonts w:hint="default" w:ascii="Times New Roman" w:hAnsi="Times New Roman" w:eastAsia="宋体" w:cs="Times New Roman"/>
                      <w:lang w:val="en-US" w:eastAsia="zh-CN"/>
                    </w:rPr>
                  </w:pPr>
                  <w:r>
                    <w:rPr>
                      <w:rFonts w:hint="eastAsia" w:cs="Times New Roman"/>
                      <w:lang w:val="en-US" w:eastAsia="zh-CN"/>
                    </w:rPr>
                    <w:t>3</w:t>
                  </w:r>
                </w:p>
              </w:tc>
              <w:tc>
                <w:tcPr>
                  <w:tcW w:w="512" w:type="pct"/>
                  <w:tcBorders>
                    <w:tl2br w:val="nil"/>
                    <w:tr2bl w:val="nil"/>
                  </w:tcBorders>
                  <w:vAlign w:val="center"/>
                </w:tcPr>
                <w:p>
                  <w:pPr>
                    <w:widowControl/>
                    <w:spacing w:line="400" w:lineRule="exact"/>
                    <w:ind w:firstLine="0" w:firstLineChars="0"/>
                    <w:jc w:val="center"/>
                    <w:textAlignment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rPr>
                    <w:t>水</w:t>
                  </w:r>
                </w:p>
              </w:tc>
              <w:tc>
                <w:tcPr>
                  <w:tcW w:w="731" w:type="pct"/>
                  <w:tcBorders>
                    <w:tl2br w:val="nil"/>
                    <w:tr2bl w:val="nil"/>
                  </w:tcBorders>
                  <w:vAlign w:val="center"/>
                </w:tcPr>
                <w:p>
                  <w:pPr>
                    <w:widowControl/>
                    <w:spacing w:line="400" w:lineRule="exact"/>
                    <w:ind w:firstLine="0" w:firstLineChars="0"/>
                    <w:jc w:val="center"/>
                    <w:textAlignment w:val="center"/>
                    <w:rPr>
                      <w:rFonts w:hint="default" w:ascii="Times New Roman" w:hAnsi="Times New Roman" w:eastAsia="宋体" w:cs="Noto Sans Mono CJK JP Regular"/>
                      <w:kern w:val="0"/>
                      <w:sz w:val="21"/>
                      <w:szCs w:val="21"/>
                      <w:lang w:val="en-US" w:eastAsia="zh-CN" w:bidi="ar-SA"/>
                    </w:rPr>
                  </w:pPr>
                  <w:r>
                    <w:rPr>
                      <w:rFonts w:hint="eastAsia" w:ascii="Times New Roman"/>
                      <w:kern w:val="0"/>
                      <w:sz w:val="21"/>
                      <w:szCs w:val="21"/>
                    </w:rPr>
                    <w:t>1000</w:t>
                  </w:r>
                </w:p>
              </w:tc>
              <w:tc>
                <w:tcPr>
                  <w:tcW w:w="709" w:type="pct"/>
                  <w:tcBorders>
                    <w:tl2br w:val="nil"/>
                    <w:tr2bl w:val="nil"/>
                  </w:tcBorders>
                  <w:vAlign w:val="center"/>
                </w:tcPr>
                <w:p>
                  <w:pPr>
                    <w:widowControl/>
                    <w:spacing w:line="400" w:lineRule="exact"/>
                    <w:ind w:firstLine="0" w:firstLineChars="0"/>
                    <w:jc w:val="center"/>
                    <w:textAlignment w:val="center"/>
                    <w:rPr>
                      <w:rFonts w:hint="default" w:ascii="Times New Roman" w:hAnsi="Times New Roman" w:eastAsia="宋体" w:cs="Noto Sans Mono CJK JP Regular"/>
                      <w:kern w:val="0"/>
                      <w:sz w:val="21"/>
                      <w:szCs w:val="21"/>
                      <w:lang w:val="en-US" w:eastAsia="zh-CN" w:bidi="ar-SA"/>
                    </w:rPr>
                  </w:pPr>
                  <w:r>
                    <w:rPr>
                      <w:rFonts w:hint="eastAsia" w:ascii="Times New Roman"/>
                      <w:kern w:val="0"/>
                      <w:sz w:val="21"/>
                      <w:szCs w:val="21"/>
                    </w:rPr>
                    <w:t>1000</w:t>
                  </w:r>
                </w:p>
              </w:tc>
              <w:tc>
                <w:tcPr>
                  <w:tcW w:w="98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3.3t</w:t>
                  </w:r>
                </w:p>
              </w:tc>
              <w:tc>
                <w:tcPr>
                  <w:tcW w:w="987" w:type="pct"/>
                  <w:tcBorders>
                    <w:tl2br w:val="nil"/>
                    <w:tr2bl w:val="nil"/>
                  </w:tcBorders>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3.3t</w:t>
                  </w:r>
                </w:p>
              </w:tc>
              <w:tc>
                <w:tcPr>
                  <w:tcW w:w="766" w:type="pct"/>
                  <w:tcBorders>
                    <w:tl2br w:val="nil"/>
                    <w:tr2bl w:val="nil"/>
                  </w:tcBorders>
                  <w:vAlign w:val="center"/>
                </w:tcPr>
                <w:p>
                  <w:pPr>
                    <w:pStyle w:val="36"/>
                    <w:rPr>
                      <w:rFonts w:hint="default" w:ascii="Times New Roman" w:hAnsi="Times New Roman" w:eastAsia="宋体" w:cs="Times New Roman"/>
                      <w:lang w:eastAsia="zh-CN"/>
                    </w:rPr>
                  </w:pPr>
                  <w:r>
                    <w:rPr>
                      <w:rFonts w:hint="eastAsia" w:cs="Times New Roman"/>
                      <w:lang w:eastAsia="zh-CN"/>
                    </w:rPr>
                    <w:t>园区自来水</w:t>
                  </w:r>
                </w:p>
              </w:tc>
            </w:tr>
          </w:tbl>
          <w:p>
            <w:pPr>
              <w:numPr>
                <w:ilvl w:val="0"/>
                <w:numId w:val="0"/>
              </w:num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水平衡</w:t>
            </w:r>
          </w:p>
          <w:p>
            <w:pPr>
              <w:pStyle w:val="3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rPr>
            </w:pPr>
            <w:r>
              <w:rPr>
                <w:rFonts w:hint="eastAsia" w:ascii="Times New Roman" w:hAnsi="Times New Roman" w:cs="Times New Roman"/>
                <w:sz w:val="28"/>
                <w:szCs w:val="28"/>
                <w:highlight w:val="none"/>
                <w:lang w:val="en-US" w:eastAsia="zh-CN"/>
              </w:rPr>
              <w:t>依据现场调查本项目由市政管网供水，用水主要是员工生活用水及项目生产用水。</w:t>
            </w:r>
          </w:p>
          <w:p>
            <w:pPr>
              <w:pStyle w:val="3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vertAlign w:val="baseline"/>
                <w:lang w:val="en-US" w:eastAsia="zh-CN"/>
              </w:rPr>
            </w:pPr>
            <w:r>
              <w:rPr>
                <w:rFonts w:hint="default" w:ascii="Times New Roman" w:hAnsi="Times New Roman" w:eastAsia="宋体" w:cs="Times New Roman"/>
                <w:sz w:val="28"/>
                <w:szCs w:val="28"/>
                <w:highlight w:val="none"/>
                <w:lang w:val="en-US" w:eastAsia="zh-CN"/>
              </w:rPr>
              <w:t>验收期间项目水平衡</w:t>
            </w:r>
            <w:r>
              <w:rPr>
                <w:rFonts w:hint="eastAsia" w:ascii="Times New Roman" w:hAnsi="Times New Roman" w:cs="Times New Roman"/>
                <w:sz w:val="28"/>
                <w:szCs w:val="28"/>
                <w:highlight w:val="none"/>
                <w:lang w:val="en-US" w:eastAsia="zh-CN"/>
              </w:rPr>
              <w:t>见</w:t>
            </w:r>
            <w:r>
              <w:rPr>
                <w:rFonts w:hint="default" w:ascii="Times New Roman" w:hAnsi="Times New Roman" w:eastAsia="宋体" w:cs="Times New Roman"/>
                <w:sz w:val="28"/>
                <w:szCs w:val="28"/>
                <w:highlight w:val="none"/>
                <w:lang w:val="en-US" w:eastAsia="zh-CN"/>
              </w:rPr>
              <w:t>下表：</w:t>
            </w:r>
          </w:p>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6</w:t>
            </w:r>
            <w:r>
              <w:rPr>
                <w:rFonts w:hint="default" w:ascii="Times New Roman" w:hAnsi="Times New Roman" w:eastAsia="宋体" w:cs="Times New Roman"/>
                <w:b/>
                <w:bCs/>
                <w:sz w:val="24"/>
                <w:szCs w:val="24"/>
                <w:lang w:eastAsia="zh-CN"/>
              </w:rPr>
              <w:t xml:space="preserve"> 项目</w:t>
            </w:r>
            <w:r>
              <w:rPr>
                <w:rFonts w:hint="eastAsia" w:cs="Times New Roman"/>
                <w:b/>
                <w:bCs/>
                <w:sz w:val="24"/>
                <w:szCs w:val="24"/>
                <w:lang w:eastAsia="zh-CN"/>
              </w:rPr>
              <w:t>验收期间用水量</w:t>
            </w:r>
            <w:r>
              <w:rPr>
                <w:rFonts w:hint="default" w:ascii="Times New Roman" w:hAnsi="Times New Roman" w:eastAsia="宋体" w:cs="Times New Roman"/>
                <w:b/>
                <w:bCs/>
                <w:sz w:val="24"/>
                <w:szCs w:val="24"/>
                <w:lang w:eastAsia="zh-CN"/>
              </w:rPr>
              <w:t>一览表</w:t>
            </w:r>
          </w:p>
          <w:tbl>
            <w:tblPr>
              <w:tblStyle w:val="20"/>
              <w:tblW w:w="4994"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962"/>
              <w:gridCol w:w="962"/>
              <w:gridCol w:w="967"/>
              <w:gridCol w:w="963"/>
              <w:gridCol w:w="963"/>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sz w:val="21"/>
                      <w:szCs w:val="21"/>
                      <w:vertAlign w:val="baseline"/>
                      <w:lang w:eastAsia="zh-CN"/>
                    </w:rPr>
                    <w:t>项目</w:t>
                  </w:r>
                </w:p>
              </w:tc>
              <w:tc>
                <w:tcPr>
                  <w:tcW w:w="1668" w:type="pct"/>
                  <w:gridSpan w:val="3"/>
                  <w:tcBorders>
                    <w:tl2br w:val="nil"/>
                    <w:tr2bl w:val="nil"/>
                  </w:tcBorders>
                  <w:vAlign w:val="center"/>
                </w:tcPr>
                <w:p>
                  <w:pPr>
                    <w:spacing w:line="240" w:lineRule="auto"/>
                    <w:jc w:val="center"/>
                    <w:rPr>
                      <w:rFonts w:hint="default" w:ascii="Times New Roman" w:hAnsi="Times New Roman" w:eastAsia="宋体" w:cs="Times New Roman"/>
                      <w:b/>
                      <w:bCs/>
                      <w:kern w:val="0"/>
                      <w:sz w:val="21"/>
                      <w:szCs w:val="21"/>
                      <w:vertAlign w:val="baseline"/>
                      <w:lang w:val="en-US" w:eastAsia="zh-CN" w:bidi="ar-SA"/>
                    </w:rPr>
                  </w:pPr>
                  <w:r>
                    <w:rPr>
                      <w:rFonts w:hint="default" w:ascii="Times New Roman" w:hAnsi="Times New Roman" w:eastAsia="宋体" w:cs="Times New Roman"/>
                      <w:b/>
                      <w:bCs/>
                      <w:sz w:val="21"/>
                      <w:szCs w:val="21"/>
                      <w:vertAlign w:val="baseline"/>
                      <w:lang w:eastAsia="zh-CN"/>
                    </w:rPr>
                    <w:t>给水</w:t>
                  </w: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d</w:t>
                  </w:r>
                  <w:r>
                    <w:rPr>
                      <w:rFonts w:hint="default" w:ascii="Times New Roman" w:hAnsi="Times New Roman" w:eastAsia="宋体" w:cs="Times New Roman"/>
                      <w:b/>
                      <w:bCs/>
                      <w:sz w:val="21"/>
                      <w:szCs w:val="21"/>
                      <w:vertAlign w:val="baseline"/>
                      <w:lang w:val="en-US" w:eastAsia="zh-CN"/>
                    </w:rPr>
                    <w:t>）</w:t>
                  </w:r>
                </w:p>
              </w:tc>
              <w:tc>
                <w:tcPr>
                  <w:tcW w:w="1669" w:type="pct"/>
                  <w:gridSpan w:val="3"/>
                  <w:tcBorders>
                    <w:tl2br w:val="nil"/>
                    <w:tr2bl w:val="nil"/>
                  </w:tcBorders>
                  <w:vAlign w:val="center"/>
                </w:tcPr>
                <w:p>
                  <w:pPr>
                    <w:spacing w:line="24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排水</w:t>
                  </w:r>
                  <w:r>
                    <w:rPr>
                      <w:rFonts w:hint="default" w:ascii="Times New Roman" w:hAnsi="Times New Roman" w:eastAsia="宋体" w:cs="Times New Roman"/>
                      <w:b/>
                      <w:bCs/>
                      <w:sz w:val="21"/>
                      <w:szCs w:val="21"/>
                      <w:vertAlign w:val="baseline"/>
                      <w:lang w:val="en-US" w:eastAsia="zh-CN"/>
                    </w:rPr>
                    <w:t>（</w:t>
                  </w:r>
                  <w:r>
                    <w:rPr>
                      <w:rFonts w:hint="default" w:ascii="Times New Roman" w:hAnsi="Times New Roman" w:eastAsia="宋体" w:cs="Times New Roman"/>
                      <w:b/>
                      <w:bCs/>
                      <w:sz w:val="21"/>
                      <w:szCs w:val="21"/>
                    </w:rPr>
                    <w:t>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val="en-US" w:eastAsia="zh-CN"/>
                    </w:rPr>
                    <w:t>d</w:t>
                  </w:r>
                  <w:r>
                    <w:rPr>
                      <w:rFonts w:hint="default" w:ascii="Times New Roman" w:hAnsi="Times New Roman" w:eastAsia="宋体"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日期</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10.27</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10.28</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平均</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eastAsia" w:cs="Times New Roman"/>
                      <w:kern w:val="0"/>
                      <w:sz w:val="21"/>
                      <w:szCs w:val="21"/>
                      <w:vertAlign w:val="baseline"/>
                      <w:lang w:val="en-US" w:eastAsia="zh-CN" w:bidi="ar-SA"/>
                    </w:rPr>
                    <w:t>10.27</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eastAsia" w:cs="Times New Roman"/>
                      <w:kern w:val="0"/>
                      <w:sz w:val="21"/>
                      <w:szCs w:val="21"/>
                      <w:vertAlign w:val="baseline"/>
                      <w:lang w:val="en-US" w:eastAsia="zh-CN" w:bidi="ar-SA"/>
                    </w:rPr>
                    <w:t>10.28</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生产用水</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3.3</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3.3</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3.3</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eastAsia="zh-CN"/>
                    </w:rPr>
                  </w:pPr>
                  <w:r>
                    <w:rPr>
                      <w:rFonts w:hint="eastAsia" w:cs="Times New Roman"/>
                      <w:sz w:val="21"/>
                      <w:szCs w:val="21"/>
                      <w:vertAlign w:val="baseline"/>
                      <w:lang w:eastAsia="zh-CN"/>
                    </w:rPr>
                    <w:t>生活用水</w:t>
                  </w:r>
                </w:p>
              </w:tc>
              <w:tc>
                <w:tcPr>
                  <w:tcW w:w="555" w:type="pct"/>
                  <w:tcBorders>
                    <w:tl2br w:val="nil"/>
                    <w:tr2bl w:val="nil"/>
                  </w:tcBorders>
                  <w:vAlign w:val="center"/>
                </w:tcPr>
                <w:p>
                  <w:pPr>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c>
                <w:tcPr>
                  <w:tcW w:w="555" w:type="pct"/>
                  <w:tcBorders>
                    <w:tl2br w:val="nil"/>
                    <w:tr2bl w:val="nil"/>
                  </w:tcBorders>
                  <w:vAlign w:val="center"/>
                </w:tcPr>
                <w:p>
                  <w:pPr>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c>
                <w:tcPr>
                  <w:tcW w:w="557" w:type="pct"/>
                  <w:tcBorders>
                    <w:tl2br w:val="nil"/>
                    <w:tr2bl w:val="nil"/>
                  </w:tcBorders>
                  <w:vAlign w:val="center"/>
                </w:tcPr>
                <w:p>
                  <w:pPr>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c>
                <w:tcPr>
                  <w:tcW w:w="556" w:type="pct"/>
                  <w:tcBorders>
                    <w:tl2br w:val="nil"/>
                    <w:tr2bl w:val="nil"/>
                  </w:tcBorders>
                  <w:vAlign w:val="center"/>
                </w:tcPr>
                <w:p>
                  <w:pPr>
                    <w:spacing w:line="240" w:lineRule="auto"/>
                    <w:jc w:val="center"/>
                    <w:rPr>
                      <w:rFonts w:hint="default" w:cs="Times New Roman"/>
                      <w:kern w:val="0"/>
                      <w:sz w:val="21"/>
                      <w:szCs w:val="21"/>
                      <w:vertAlign w:val="baseline"/>
                      <w:lang w:val="en-US" w:eastAsia="zh-CN" w:bidi="ar-SA"/>
                    </w:rPr>
                  </w:pPr>
                  <w:r>
                    <w:rPr>
                      <w:rFonts w:hint="eastAsia" w:cs="Times New Roman"/>
                      <w:kern w:val="0"/>
                      <w:sz w:val="21"/>
                      <w:szCs w:val="21"/>
                      <w:vertAlign w:val="baseline"/>
                      <w:lang w:val="en-US" w:eastAsia="zh-CN" w:bidi="ar-SA"/>
                    </w:rPr>
                    <w:t>0.8</w:t>
                  </w:r>
                </w:p>
              </w:tc>
              <w:tc>
                <w:tcPr>
                  <w:tcW w:w="556" w:type="pct"/>
                  <w:tcBorders>
                    <w:tl2br w:val="nil"/>
                    <w:tr2bl w:val="nil"/>
                  </w:tcBorders>
                  <w:vAlign w:val="center"/>
                </w:tcPr>
                <w:p>
                  <w:pPr>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0.8</w:t>
                  </w:r>
                </w:p>
              </w:tc>
              <w:tc>
                <w:tcPr>
                  <w:tcW w:w="557" w:type="pct"/>
                  <w:tcBorders>
                    <w:tl2br w:val="nil"/>
                    <w:tr2bl w:val="nil"/>
                  </w:tcBorders>
                  <w:vAlign w:val="center"/>
                </w:tcPr>
                <w:p>
                  <w:pPr>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2"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总计</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eastAsia" w:cs="Times New Roman"/>
                      <w:kern w:val="0"/>
                      <w:sz w:val="21"/>
                      <w:szCs w:val="21"/>
                      <w:vertAlign w:val="baseline"/>
                      <w:lang w:val="en-US" w:eastAsia="zh-CN" w:bidi="ar-SA"/>
                    </w:rPr>
                    <w:t>4.3</w:t>
                  </w:r>
                </w:p>
              </w:tc>
              <w:tc>
                <w:tcPr>
                  <w:tcW w:w="555"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4.3</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4.3</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kern w:val="0"/>
                      <w:sz w:val="21"/>
                      <w:szCs w:val="21"/>
                      <w:vertAlign w:val="baseline"/>
                      <w:lang w:val="en-US" w:eastAsia="zh-CN" w:bidi="ar-SA"/>
                    </w:rPr>
                  </w:pPr>
                  <w:r>
                    <w:rPr>
                      <w:rFonts w:hint="eastAsia" w:cs="Times New Roman"/>
                      <w:kern w:val="0"/>
                      <w:sz w:val="21"/>
                      <w:szCs w:val="21"/>
                      <w:vertAlign w:val="baseline"/>
                      <w:lang w:val="en-US" w:eastAsia="zh-CN" w:bidi="ar-SA"/>
                    </w:rPr>
                    <w:t>0.8</w:t>
                  </w:r>
                </w:p>
              </w:tc>
              <w:tc>
                <w:tcPr>
                  <w:tcW w:w="556"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0.8</w:t>
                  </w:r>
                </w:p>
              </w:tc>
              <w:tc>
                <w:tcPr>
                  <w:tcW w:w="557" w:type="pct"/>
                  <w:tcBorders>
                    <w:tl2br w:val="nil"/>
                    <w:tr2bl w:val="nil"/>
                  </w:tcBorders>
                  <w:vAlign w:val="center"/>
                </w:tcPr>
                <w:p>
                  <w:p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0.8</w:t>
                  </w:r>
                </w:p>
              </w:tc>
            </w:tr>
          </w:tbl>
          <w:p>
            <w:pPr>
              <w:pStyle w:val="2"/>
              <w:spacing w:before="8" w:line="220" w:lineRule="auto"/>
              <w:ind w:right="157"/>
              <w:jc w:val="center"/>
              <w:rPr>
                <w:rFonts w:hint="eastAsia" w:ascii="Times New Roman" w:hAnsi="Times New Roman" w:eastAsia="宋体" w:cs="Times New Roman"/>
                <w:b/>
                <w:bCs/>
                <w:spacing w:val="-3"/>
                <w:sz w:val="21"/>
                <w:szCs w:val="21"/>
                <w:lang w:eastAsia="zh-CN"/>
              </w:rPr>
            </w:pPr>
            <w:r>
              <w:rPr>
                <w:rFonts w:hint="eastAsia" w:ascii="Times New Roman" w:cs="Times New Roman"/>
                <w:color w:val="auto"/>
                <w:kern w:val="0"/>
                <w:sz w:val="24"/>
                <w:szCs w:val="28"/>
                <w:lang w:val="en-US" w:eastAsia="zh-CN" w:bidi="ar-SA"/>
              </w:rPr>
              <w:object>
                <v:shape id="_x0000_i1025" o:spt="75" type="#_x0000_t75" style="height:168.8pt;width:367.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p>
          <w:p>
            <w:pPr>
              <w:pStyle w:val="2"/>
              <w:spacing w:before="8" w:line="220" w:lineRule="auto"/>
              <w:ind w:right="157"/>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pacing w:val="-3"/>
                <w:sz w:val="24"/>
                <w:szCs w:val="24"/>
                <w:lang w:eastAsia="zh-CN"/>
              </w:rPr>
              <w:t>图1  项目</w:t>
            </w:r>
            <w:r>
              <w:rPr>
                <w:rFonts w:hint="eastAsia" w:cs="Times New Roman"/>
                <w:b/>
                <w:bCs/>
                <w:spacing w:val="-3"/>
                <w:sz w:val="24"/>
                <w:szCs w:val="24"/>
                <w:lang w:eastAsia="zh-CN"/>
              </w:rPr>
              <w:t>验收期间用水量</w:t>
            </w:r>
            <w:r>
              <w:rPr>
                <w:rFonts w:hint="default" w:ascii="Times New Roman" w:hAnsi="Times New Roman" w:eastAsia="宋体" w:cs="Times New Roman"/>
                <w:b/>
                <w:bCs/>
                <w:spacing w:val="-3"/>
                <w:sz w:val="24"/>
                <w:szCs w:val="24"/>
                <w:lang w:eastAsia="zh-CN"/>
              </w:rPr>
              <w:t xml:space="preserve">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6" w:hRule="atLeast"/>
          <w:jc w:val="center"/>
        </w:trPr>
        <w:tc>
          <w:tcPr>
            <w:tcW w:w="5000" w:type="pct"/>
            <w:tcBorders>
              <w:top w:val="single" w:color="auto" w:sz="4" w:space="0"/>
              <w:left w:val="single" w:color="auto" w:sz="4" w:space="0"/>
              <w:bottom w:val="single" w:color="auto" w:sz="4" w:space="0"/>
              <w:right w:val="single" w:color="auto" w:sz="4" w:space="0"/>
            </w:tcBorders>
          </w:tcPr>
          <w:p>
            <w:pPr>
              <w:spacing w:line="360" w:lineRule="auto"/>
              <w:rPr>
                <w:rFonts w:hint="default"/>
                <w:sz w:val="28"/>
                <w:szCs w:val="28"/>
                <w:lang w:eastAsia="zh-CN"/>
              </w:rPr>
            </w:pPr>
            <w:r>
              <w:rPr>
                <w:rFonts w:hint="default"/>
                <w:sz w:val="28"/>
                <w:szCs w:val="28"/>
                <w:lang w:eastAsia="zh-CN"/>
              </w:rPr>
              <w:t>主要工艺流程及产污环节：</w:t>
            </w:r>
          </w:p>
          <w:p>
            <w:pPr>
              <w:spacing w:line="360" w:lineRule="auto"/>
              <w:ind w:firstLine="560" w:firstLineChars="200"/>
              <w:rPr>
                <w:rFonts w:hint="default"/>
                <w:sz w:val="28"/>
                <w:szCs w:val="28"/>
                <w:lang w:eastAsia="zh-CN"/>
              </w:rPr>
            </w:pPr>
            <w:r>
              <w:rPr>
                <w:rFonts w:hint="eastAsia"/>
                <w:sz w:val="28"/>
                <w:szCs w:val="28"/>
                <w:lang w:val="en-US" w:eastAsia="zh-CN"/>
              </w:rPr>
              <w:t>本</w:t>
            </w:r>
            <w:r>
              <w:rPr>
                <w:rFonts w:hint="default"/>
                <w:sz w:val="28"/>
                <w:szCs w:val="28"/>
                <w:lang w:eastAsia="zh-CN"/>
              </w:rPr>
              <w:t>项目</w:t>
            </w:r>
            <w:r>
              <w:rPr>
                <w:rFonts w:hint="eastAsia"/>
                <w:sz w:val="28"/>
                <w:szCs w:val="28"/>
                <w:lang w:val="en-US" w:eastAsia="zh-CN"/>
              </w:rPr>
              <w:t>对竹板进行开料加工制作，生产成品为竹制家具</w:t>
            </w:r>
            <w:r>
              <w:rPr>
                <w:rFonts w:hint="default"/>
                <w:sz w:val="28"/>
                <w:szCs w:val="28"/>
                <w:lang w:val="en-US" w:eastAsia="zh-CN"/>
              </w:rPr>
              <w:t>，</w:t>
            </w:r>
            <w:r>
              <w:rPr>
                <w:rFonts w:hint="default"/>
                <w:sz w:val="28"/>
                <w:szCs w:val="28"/>
                <w:lang w:eastAsia="zh-CN"/>
              </w:rPr>
              <w:t>具体</w:t>
            </w:r>
            <w:r>
              <w:rPr>
                <w:rFonts w:hint="eastAsia"/>
                <w:sz w:val="28"/>
                <w:szCs w:val="28"/>
                <w:lang w:eastAsia="zh-CN"/>
              </w:rPr>
              <w:t>生产</w:t>
            </w:r>
            <w:r>
              <w:rPr>
                <w:rFonts w:hint="default"/>
                <w:sz w:val="28"/>
                <w:szCs w:val="28"/>
                <w:lang w:eastAsia="zh-CN"/>
              </w:rPr>
              <w:t>工艺见下图：</w:t>
            </w:r>
          </w:p>
          <w:p>
            <w:pPr>
              <w:spacing w:line="360" w:lineRule="auto"/>
              <w:jc w:val="center"/>
              <w:rPr>
                <w:rFonts w:hint="default"/>
                <w:sz w:val="28"/>
                <w:szCs w:val="28"/>
                <w:lang w:eastAsia="zh-CN"/>
              </w:rPr>
            </w:pPr>
            <w:r>
              <w:rPr>
                <w:rFonts w:hint="default" w:ascii="Times New Roman" w:hAnsi="Times New Roman" w:cs="Times New Roman"/>
                <w:sz w:val="24"/>
                <w:szCs w:val="24"/>
              </w:rPr>
              <w:object>
                <v:shape id="_x0000_i1026" o:spt="75" type="#_x0000_t75" style="height:143.3pt;width:365.85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pPr>
              <w:pStyle w:val="2"/>
              <w:spacing w:before="8" w:line="220" w:lineRule="auto"/>
              <w:ind w:right="157" w:firstLine="410"/>
              <w:jc w:val="center"/>
              <w:rPr>
                <w:rFonts w:hint="default"/>
                <w:b/>
                <w:bCs/>
                <w:sz w:val="24"/>
                <w:szCs w:val="24"/>
                <w:lang w:eastAsia="zh-CN"/>
              </w:rPr>
            </w:pPr>
            <w:r>
              <w:rPr>
                <w:rFonts w:hint="default"/>
                <w:b/>
                <w:bCs/>
                <w:sz w:val="24"/>
                <w:szCs w:val="24"/>
                <w:lang w:eastAsia="zh-CN"/>
              </w:rPr>
              <w:t>图2  本项目</w:t>
            </w:r>
            <w:r>
              <w:rPr>
                <w:rFonts w:hint="eastAsia"/>
                <w:b/>
                <w:bCs/>
                <w:sz w:val="24"/>
                <w:szCs w:val="24"/>
                <w:lang w:eastAsia="zh-CN"/>
              </w:rPr>
              <w:t>工艺</w:t>
            </w:r>
            <w:r>
              <w:rPr>
                <w:rFonts w:hint="default"/>
                <w:b/>
                <w:bCs/>
                <w:sz w:val="24"/>
                <w:szCs w:val="24"/>
                <w:lang w:eastAsia="zh-CN"/>
              </w:rPr>
              <w:t>流程及产污环节示意图</w:t>
            </w:r>
          </w:p>
          <w:p>
            <w:pPr>
              <w:spacing w:line="360" w:lineRule="auto"/>
              <w:ind w:firstLine="560" w:firstLineChars="200"/>
              <w:rPr>
                <w:rFonts w:hint="default"/>
                <w:sz w:val="28"/>
                <w:szCs w:val="28"/>
                <w:lang w:eastAsia="zh-CN"/>
              </w:rPr>
            </w:pPr>
            <w:r>
              <w:rPr>
                <w:rFonts w:hint="default"/>
                <w:sz w:val="28"/>
                <w:szCs w:val="28"/>
                <w:lang w:eastAsia="zh-CN"/>
              </w:rPr>
              <w:t>主要工艺说明：</w:t>
            </w:r>
          </w:p>
          <w:p>
            <w:pPr>
              <w:spacing w:line="360" w:lineRule="auto"/>
              <w:ind w:firstLine="560" w:firstLineChars="200"/>
              <w:rPr>
                <w:rFonts w:hint="eastAsia" w:ascii="Times New Roman" w:hAnsi="Times New Roman" w:eastAsia="宋体"/>
                <w:sz w:val="28"/>
                <w:szCs w:val="28"/>
                <w:lang w:eastAsia="zh-CN"/>
              </w:rPr>
            </w:pPr>
            <w:r>
              <w:rPr>
                <w:rFonts w:hint="eastAsia" w:ascii="Times New Roman" w:hAnsi="Times New Roman" w:eastAsia="宋体"/>
                <w:sz w:val="28"/>
                <w:szCs w:val="28"/>
                <w:lang w:eastAsia="zh-CN"/>
              </w:rPr>
              <w:t>配液：按配方（硅酸钾溶液：黄腐酸：水=75：5：20）准确量好全量黄腐酸与半量的水</w:t>
            </w:r>
            <w:r>
              <w:rPr>
                <w:rFonts w:hint="eastAsia" w:ascii="Times New Roman" w:hAnsi="Times New Roman" w:eastAsia="宋体"/>
                <w:sz w:val="28"/>
                <w:szCs w:val="28"/>
                <w:lang w:val="en-US" w:eastAsia="zh-CN"/>
              </w:rPr>
              <w:t>(水先加)</w:t>
            </w:r>
            <w:r>
              <w:rPr>
                <w:rFonts w:hint="eastAsia" w:ascii="Times New Roman" w:hAnsi="Times New Roman" w:eastAsia="宋体"/>
                <w:sz w:val="28"/>
                <w:szCs w:val="28"/>
                <w:lang w:eastAsia="zh-CN"/>
              </w:rPr>
              <w:t>至5吨塑料罐中。</w:t>
            </w:r>
          </w:p>
          <w:p>
            <w:pPr>
              <w:spacing w:line="360" w:lineRule="auto"/>
              <w:ind w:firstLine="560" w:firstLineChars="200"/>
              <w:rPr>
                <w:rFonts w:hint="eastAsia" w:ascii="Times New Roman" w:hAnsi="Times New Roman" w:eastAsia="宋体"/>
                <w:sz w:val="28"/>
                <w:szCs w:val="28"/>
                <w:lang w:eastAsia="zh-CN"/>
              </w:rPr>
            </w:pPr>
            <w:r>
              <w:rPr>
                <w:rFonts w:hint="eastAsia" w:ascii="Times New Roman" w:hAnsi="Times New Roman" w:eastAsia="宋体"/>
                <w:sz w:val="28"/>
                <w:szCs w:val="28"/>
                <w:lang w:eastAsia="zh-CN"/>
              </w:rPr>
              <w:t>搅拌：将全量硅酸钾溶液缓慢注入塑料桶中，并补水至5吨刻度线。随后由搅拌系统（空压机、除水器，空压干燥机）供能自动搅拌。</w:t>
            </w:r>
          </w:p>
          <w:p>
            <w:pPr>
              <w:spacing w:line="360" w:lineRule="auto"/>
              <w:ind w:firstLine="560" w:firstLineChars="200"/>
              <w:rPr>
                <w:rFonts w:hint="eastAsia" w:ascii="Times New Roman" w:hAnsi="Times New Roman" w:eastAsia="宋体"/>
                <w:sz w:val="28"/>
                <w:szCs w:val="28"/>
                <w:lang w:eastAsia="zh-CN"/>
              </w:rPr>
            </w:pPr>
            <w:r>
              <w:rPr>
                <w:rFonts w:hint="eastAsia" w:ascii="Times New Roman" w:hAnsi="Times New Roman" w:eastAsia="宋体"/>
                <w:sz w:val="28"/>
                <w:szCs w:val="28"/>
                <w:lang w:eastAsia="zh-CN"/>
              </w:rPr>
              <w:t>分装入库：搅拌好的溶液进行灌装。包装好的产品直接转入成品库。</w:t>
            </w:r>
          </w:p>
          <w:p>
            <w:pPr>
              <w:spacing w:line="360" w:lineRule="auto"/>
              <w:ind w:firstLine="560" w:firstLineChars="200"/>
              <w:rPr>
                <w:rFonts w:hint="default" w:ascii="Times New Roman" w:hAnsi="Times New Roman" w:cs="Times New Roman"/>
                <w:sz w:val="28"/>
                <w:szCs w:val="28"/>
                <w:lang w:val="en-US" w:eastAsia="zh-CN"/>
              </w:rPr>
            </w:pPr>
            <w:r>
              <w:rPr>
                <w:rFonts w:hint="eastAsia" w:ascii="Times New Roman" w:hAnsi="Times New Roman" w:eastAsia="宋体"/>
                <w:sz w:val="28"/>
                <w:szCs w:val="28"/>
                <w:lang w:eastAsia="zh-CN"/>
              </w:rPr>
              <w:t>注:项目生产过程无化学反应，只是简单物理复配过程。</w:t>
            </w:r>
          </w:p>
        </w:tc>
      </w:tr>
    </w:tbl>
    <w:p>
      <w:pPr>
        <w:pStyle w:val="2"/>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2"/>
        <w:spacing w:before="8" w:line="220" w:lineRule="auto"/>
        <w:ind w:right="157"/>
        <w:jc w:val="both"/>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表三</w:t>
      </w:r>
    </w:p>
    <w:tbl>
      <w:tblPr>
        <w:tblStyle w:val="19"/>
        <w:tblW w:w="5555"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autofit"/>
        <w:tblCellMar>
          <w:top w:w="0" w:type="dxa"/>
          <w:left w:w="108" w:type="dxa"/>
          <w:bottom w:w="0" w:type="dxa"/>
          <w:right w:w="108" w:type="dxa"/>
        </w:tblCellMar>
      </w:tblPr>
      <w:tblGrid>
        <w:gridCol w:w="9546"/>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2991" w:hRule="atLeast"/>
          <w:jc w:val="center"/>
        </w:trPr>
        <w:tc>
          <w:tcPr>
            <w:tcW w:w="5000" w:type="pct"/>
          </w:tcPr>
          <w:p>
            <w:pPr>
              <w:spacing w:line="360" w:lineRule="auto"/>
              <w:rPr>
                <w:rFonts w:hint="default"/>
                <w:b/>
                <w:bCs/>
                <w:sz w:val="28"/>
                <w:szCs w:val="28"/>
                <w:lang w:eastAsia="zh-CN"/>
              </w:rPr>
            </w:pPr>
            <w:r>
              <w:rPr>
                <w:rFonts w:hint="default"/>
                <w:b/>
                <w:bCs/>
                <w:sz w:val="28"/>
                <w:szCs w:val="28"/>
                <w:lang w:eastAsia="zh-CN"/>
              </w:rPr>
              <w:t>主要污染源、污染物处理和排放（附处理流程示意图，标出废水、废气、厂界噪声监测点位）：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依据项目环境影响评价及环评批复，本项目主要</w:t>
            </w:r>
            <w:r>
              <w:rPr>
                <w:rFonts w:hint="default"/>
                <w:sz w:val="28"/>
                <w:szCs w:val="28"/>
                <w:lang w:val="en-US" w:eastAsia="zh-CN"/>
              </w:rPr>
              <w:t>污物产生、防治措施、排放情况见下表：</w:t>
            </w:r>
          </w:p>
          <w:p>
            <w:pPr>
              <w:pStyle w:val="32"/>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w:t>
            </w:r>
            <w:r>
              <w:rPr>
                <w:rFonts w:hint="eastAsia" w:ascii="Times New Roman" w:hAnsi="Times New Roman" w:cs="Times New Roman"/>
                <w:b/>
                <w:bCs/>
                <w:sz w:val="24"/>
                <w:szCs w:val="24"/>
                <w:lang w:val="en-US" w:eastAsia="zh-CN"/>
              </w:rPr>
              <w:t>7</w:t>
            </w:r>
            <w:r>
              <w:rPr>
                <w:rFonts w:hint="default" w:ascii="Times New Roman" w:hAnsi="Times New Roman" w:cs="Times New Roman"/>
                <w:b/>
                <w:bCs/>
                <w:sz w:val="24"/>
                <w:szCs w:val="24"/>
                <w:lang w:val="en-US" w:eastAsia="zh-CN"/>
              </w:rPr>
              <w:t xml:space="preserve"> 项目主要污染物产生、防治措施、排放方式一览表</w:t>
            </w:r>
          </w:p>
          <w:tbl>
            <w:tblPr>
              <w:tblStyle w:val="2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549"/>
              <w:gridCol w:w="1549"/>
              <w:gridCol w:w="1549"/>
              <w:gridCol w:w="1553"/>
              <w:gridCol w:w="15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7"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污染类别</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污染源</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污染因子</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防治措施</w:t>
                  </w:r>
                </w:p>
              </w:tc>
              <w:tc>
                <w:tcPr>
                  <w:tcW w:w="835"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环评要求排放方式</w:t>
                  </w:r>
                </w:p>
              </w:tc>
              <w:tc>
                <w:tcPr>
                  <w:tcW w:w="836"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7"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w:t>
                  </w:r>
                </w:p>
              </w:tc>
              <w:tc>
                <w:tcPr>
                  <w:tcW w:w="833" w:type="pct"/>
                  <w:tcBorders>
                    <w:tl2br w:val="nil"/>
                    <w:tr2bl w:val="nil"/>
                  </w:tcBorders>
                  <w:vAlign w:val="center"/>
                </w:tcPr>
                <w:p>
                  <w:pPr>
                    <w:pStyle w:val="10"/>
                    <w:jc w:val="center"/>
                    <w:rPr>
                      <w:rFonts w:hint="default" w:ascii="Times New Roman" w:hAnsi="Times New Roman" w:cs="Times New Roman"/>
                      <w:sz w:val="21"/>
                      <w:szCs w:val="21"/>
                      <w:lang w:val="en-US" w:eastAsia="zh-CN"/>
                    </w:rPr>
                  </w:pPr>
                  <w:r>
                    <w:rPr>
                      <w:rFonts w:hint="eastAsia" w:cs="Times New Roman"/>
                      <w:sz w:val="21"/>
                      <w:szCs w:val="21"/>
                      <w:lang w:val="en-US" w:eastAsia="zh-CN"/>
                    </w:rPr>
                    <w:t>办公区生活污水</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w:t>
                  </w: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SS</w:t>
                  </w:r>
                  <w:r>
                    <w:rPr>
                      <w:rFonts w:hint="default" w:ascii="Times New Roman" w:hAnsi="Times New Roman" w:cs="Times New Roman"/>
                      <w:sz w:val="21"/>
                      <w:szCs w:val="21"/>
                      <w:lang w:val="en-US" w:eastAsia="zh-CN"/>
                    </w:rPr>
                    <w:t>、动植物油、TN</w:t>
                  </w:r>
                  <w:r>
                    <w:rPr>
                      <w:rFonts w:hint="default" w:ascii="Times New Roman" w:hAnsi="Times New Roman" w:cs="Times New Roman"/>
                      <w:sz w:val="21"/>
                      <w:szCs w:val="21"/>
                      <w:lang w:eastAsia="zh-CN"/>
                    </w:rPr>
                    <w:t>、</w:t>
                  </w:r>
                  <w:r>
                    <w:rPr>
                      <w:rFonts w:hint="default" w:ascii="Times New Roman" w:hAnsi="Times New Roman" w:cs="Times New Roman"/>
                      <w:sz w:val="21"/>
                      <w:szCs w:val="21"/>
                    </w:rPr>
                    <w:t>TP</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粪大肠菌群数、</w:t>
                  </w:r>
                  <w:r>
                    <w:rPr>
                      <w:rFonts w:hint="default" w:ascii="Times New Roman" w:hAnsi="Times New Roman" w:cs="Times New Roman"/>
                      <w:sz w:val="21"/>
                      <w:szCs w:val="21"/>
                    </w:rPr>
                    <w:t>COD</w:t>
                  </w:r>
                  <w:r>
                    <w:rPr>
                      <w:rFonts w:hint="default" w:ascii="Times New Roman" w:hAnsi="Times New Roman" w:cs="Times New Roman"/>
                      <w:sz w:val="21"/>
                      <w:szCs w:val="21"/>
                      <w:vertAlign w:val="subscript"/>
                    </w:rPr>
                    <w:t>Cr</w:t>
                  </w:r>
                  <w:r>
                    <w:rPr>
                      <w:rFonts w:hint="default" w:ascii="Times New Roman" w:hAnsi="Times New Roman" w:cs="Times New Roman"/>
                      <w:sz w:val="21"/>
                      <w:szCs w:val="21"/>
                      <w:lang w:eastAsia="zh-CN"/>
                    </w:rPr>
                    <w:t>、氨氮</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化粪池</w:t>
                  </w:r>
                </w:p>
              </w:tc>
              <w:tc>
                <w:tcPr>
                  <w:tcW w:w="835"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排入园区污水处理厂</w:t>
                  </w:r>
                </w:p>
              </w:tc>
              <w:tc>
                <w:tcPr>
                  <w:tcW w:w="836"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排入园区污水处理厂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7"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噪声</w:t>
                  </w:r>
                </w:p>
              </w:tc>
              <w:tc>
                <w:tcPr>
                  <w:tcW w:w="833" w:type="pct"/>
                  <w:tcBorders>
                    <w:tl2br w:val="nil"/>
                    <w:tr2bl w:val="nil"/>
                  </w:tcBorders>
                  <w:vAlign w:val="center"/>
                </w:tcPr>
                <w:p>
                  <w:pPr>
                    <w:pStyle w:val="10"/>
                    <w:jc w:val="center"/>
                    <w:rPr>
                      <w:rFonts w:hint="default" w:ascii="Times New Roman" w:hAnsi="Times New Roman" w:cs="Times New Roman"/>
                      <w:sz w:val="21"/>
                      <w:szCs w:val="21"/>
                      <w:lang w:val="en-US" w:eastAsia="zh-CN"/>
                    </w:rPr>
                  </w:pPr>
                  <w:r>
                    <w:rPr>
                      <w:rFonts w:hint="eastAsia" w:cs="Times New Roman"/>
                      <w:sz w:val="21"/>
                      <w:szCs w:val="21"/>
                      <w:lang w:val="en-US" w:eastAsia="zh-CN"/>
                    </w:rPr>
                    <w:t>运输车辆</w:t>
                  </w:r>
                  <w:r>
                    <w:rPr>
                      <w:rFonts w:hint="default" w:ascii="Times New Roman" w:hAnsi="Times New Roman" w:cs="Times New Roman"/>
                      <w:sz w:val="21"/>
                      <w:szCs w:val="21"/>
                      <w:lang w:val="en-US" w:eastAsia="zh-CN"/>
                    </w:rPr>
                    <w:t>等机械设备</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等效声级</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选用低噪设备</w:t>
                  </w:r>
                </w:p>
              </w:tc>
              <w:tc>
                <w:tcPr>
                  <w:tcW w:w="835"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6"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7" w:type="pct"/>
                  <w:vMerge w:val="restar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固废</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生活垃圾</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550" w:type="dxa"/>
                  <w:tcBorders>
                    <w:tl2br w:val="nil"/>
                    <w:tr2bl w:val="nil"/>
                  </w:tcBorders>
                  <w:vAlign w:val="center"/>
                </w:tcPr>
                <w:p>
                  <w:pPr>
                    <w:pStyle w:val="3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由环卫部门统一清运处理</w:t>
                  </w:r>
                </w:p>
              </w:tc>
              <w:tc>
                <w:tcPr>
                  <w:tcW w:w="1552" w:type="dxa"/>
                  <w:tcBorders>
                    <w:tl2br w:val="nil"/>
                    <w:tr2bl w:val="nil"/>
                  </w:tcBorders>
                  <w:vAlign w:val="center"/>
                </w:tcPr>
                <w:p>
                  <w:pPr>
                    <w:pStyle w:val="3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由环卫部门统一清运处理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7" w:type="pct"/>
                  <w:vMerge w:val="continue"/>
                  <w:tcBorders>
                    <w:tl2br w:val="nil"/>
                    <w:tr2bl w:val="nil"/>
                  </w:tcBorders>
                  <w:vAlign w:val="center"/>
                </w:tcPr>
                <w:p>
                  <w:pPr>
                    <w:pStyle w:val="32"/>
                    <w:jc w:val="center"/>
                    <w:rPr>
                      <w:rFonts w:hint="default" w:ascii="Times New Roman" w:hAnsi="Times New Roman" w:cs="Times New Roman"/>
                      <w:sz w:val="21"/>
                      <w:szCs w:val="21"/>
                      <w:lang w:val="en-US" w:eastAsia="zh-CN"/>
                    </w:rPr>
                  </w:pP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废包装袋</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833" w:type="pct"/>
                  <w:tcBorders>
                    <w:tl2br w:val="nil"/>
                    <w:tr2bl w:val="nil"/>
                  </w:tcBorders>
                  <w:vAlign w:val="center"/>
                </w:tcPr>
                <w:p>
                  <w:pPr>
                    <w:pStyle w:val="32"/>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1550" w:type="dxa"/>
                  <w:tcBorders>
                    <w:tl2br w:val="nil"/>
                    <w:tr2bl w:val="nil"/>
                  </w:tcBorders>
                  <w:vAlign w:val="center"/>
                </w:tcPr>
                <w:p>
                  <w:pPr>
                    <w:pStyle w:val="3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由供应商回收再利用</w:t>
                  </w:r>
                </w:p>
              </w:tc>
              <w:tc>
                <w:tcPr>
                  <w:tcW w:w="1552" w:type="dxa"/>
                  <w:tcBorders>
                    <w:tl2br w:val="nil"/>
                    <w:tr2bl w:val="nil"/>
                  </w:tcBorders>
                  <w:vAlign w:val="center"/>
                </w:tcPr>
                <w:p>
                  <w:pPr>
                    <w:pStyle w:val="3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由供应商回收再利用</w:t>
                  </w:r>
                </w:p>
              </w:tc>
            </w:tr>
          </w:tbl>
          <w:p>
            <w:pPr>
              <w:pStyle w:val="32"/>
              <w:rPr>
                <w:rFonts w:hint="default"/>
                <w:sz w:val="28"/>
                <w:szCs w:val="28"/>
                <w:lang w:val="en-US" w:eastAsia="zh-CN"/>
              </w:rPr>
            </w:pPr>
            <w:r>
              <w:rPr>
                <w:rFonts w:hint="default"/>
                <w:sz w:val="28"/>
                <w:szCs w:val="28"/>
                <w:lang w:val="en-US" w:eastAsia="zh-CN"/>
              </w:rPr>
              <w:t>废气、噪声监测点位示意图：</w:t>
            </w:r>
          </w:p>
          <w:p>
            <w:pPr>
              <w:pStyle w:val="32"/>
              <w:rPr>
                <w:rFonts w:hint="default"/>
                <w:lang w:val="en-US" w:eastAsia="zh-CN"/>
              </w:rPr>
            </w:pPr>
            <w:r>
              <w:drawing>
                <wp:inline distT="0" distB="0" distL="114300" distR="114300">
                  <wp:extent cx="5912485" cy="3066415"/>
                  <wp:effectExtent l="0" t="0" r="1206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912485" cy="3066415"/>
                          </a:xfrm>
                          <a:prstGeom prst="rect">
                            <a:avLst/>
                          </a:prstGeom>
                          <a:noFill/>
                          <a:ln>
                            <a:noFill/>
                          </a:ln>
                        </pic:spPr>
                      </pic:pic>
                    </a:graphicData>
                  </a:graphic>
                </wp:inline>
              </w:drawing>
            </w:r>
          </w:p>
          <w:p>
            <w:pPr>
              <w:spacing w:line="386" w:lineRule="exact"/>
              <w:ind w:firstLine="420"/>
              <w:jc w:val="center"/>
              <w:rPr>
                <w:rFonts w:hint="default"/>
                <w:lang w:val="en-US" w:eastAsia="zh-CN"/>
              </w:rPr>
            </w:pPr>
            <w:r>
              <w:rPr>
                <w:rFonts w:hint="default" w:ascii="Times New Roman" w:hAnsi="Times New Roman" w:eastAsia="宋体" w:cs="Times New Roman"/>
                <w:b/>
                <w:bCs/>
                <w:sz w:val="24"/>
                <w:szCs w:val="24"/>
                <w:lang w:eastAsia="zh-CN"/>
              </w:rPr>
              <w:t>图</w:t>
            </w:r>
            <w:r>
              <w:rPr>
                <w:rFonts w:hint="eastAsia" w:cs="Times New Roman"/>
                <w:b/>
                <w:bCs/>
                <w:sz w:val="24"/>
                <w:szCs w:val="24"/>
                <w:lang w:val="en-US" w:eastAsia="zh-CN"/>
              </w:rPr>
              <w:t>3</w:t>
            </w:r>
            <w:r>
              <w:rPr>
                <w:rFonts w:hint="default" w:ascii="Times New Roman" w:hAnsi="Times New Roman" w:eastAsia="宋体" w:cs="Times New Roman"/>
                <w:b/>
                <w:bCs/>
                <w:sz w:val="24"/>
                <w:szCs w:val="24"/>
                <w:lang w:val="en-US" w:eastAsia="zh-CN"/>
              </w:rPr>
              <w:t xml:space="preserve"> 项目监测点位示意图</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13511" w:hRule="atLeast"/>
          <w:jc w:val="center"/>
        </w:trPr>
        <w:tc>
          <w:tcPr>
            <w:tcW w:w="5000" w:type="pct"/>
          </w:tcPr>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360" w:lineRule="auto"/>
              <w:ind w:right="0" w:rightChars="0"/>
              <w:jc w:val="left"/>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项目变更情况：</w:t>
            </w:r>
          </w:p>
          <w:p>
            <w:pPr>
              <w:pStyle w:val="10"/>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sz w:val="28"/>
                <w:szCs w:val="28"/>
                <w:lang w:val="en-US" w:eastAsia="zh-CN"/>
              </w:rPr>
            </w:pPr>
            <w:r>
              <w:rPr>
                <w:rFonts w:hint="eastAsia" w:ascii="Times New Roman" w:eastAsia="宋体" w:cs="Times New Roman"/>
                <w:sz w:val="28"/>
                <w:szCs w:val="28"/>
                <w:lang w:val="en-US" w:eastAsia="zh-CN"/>
              </w:rPr>
              <w:t>依照</w:t>
            </w:r>
            <w:r>
              <w:rPr>
                <w:rFonts w:hint="default" w:ascii="Times New Roman" w:hAnsi="Times New Roman" w:eastAsia="宋体" w:cs="Times New Roman"/>
                <w:color w:val="auto"/>
                <w:sz w:val="28"/>
                <w:szCs w:val="28"/>
                <w:lang w:val="en-US" w:eastAsia="zh-CN"/>
              </w:rPr>
              <w:t>《</w:t>
            </w:r>
            <w:r>
              <w:rPr>
                <w:rFonts w:hint="eastAsia" w:ascii="Times New Roman" w:eastAsia="宋体" w:cs="Times New Roman"/>
                <w:color w:val="auto"/>
                <w:sz w:val="28"/>
                <w:szCs w:val="28"/>
                <w:lang w:val="en-US" w:eastAsia="zh-CN"/>
              </w:rPr>
              <w:t>污染影响类建设项目重大变动清单</w:t>
            </w:r>
            <w:r>
              <w:rPr>
                <w:rFonts w:hint="default" w:ascii="Times New Roman" w:hAnsi="Times New Roman" w:eastAsia="宋体" w:cs="Times New Roman"/>
                <w:color w:val="auto"/>
                <w:sz w:val="28"/>
                <w:szCs w:val="28"/>
                <w:lang w:val="en-US" w:eastAsia="zh-CN"/>
              </w:rPr>
              <w:t>》</w:t>
            </w:r>
            <w:r>
              <w:rPr>
                <w:rFonts w:hint="eastAsia" w:ascii="Times New Roman" w:eastAsia="宋体" w:cs="Times New Roman"/>
                <w:color w:val="auto"/>
                <w:sz w:val="28"/>
                <w:szCs w:val="28"/>
                <w:lang w:val="en-US" w:eastAsia="zh-CN"/>
              </w:rPr>
              <w:t>（环办环评函（2020）688号）本次验收对照</w:t>
            </w:r>
            <w:r>
              <w:rPr>
                <w:rFonts w:hint="default" w:ascii="Times New Roman" w:hAnsi="Times New Roman" w:eastAsia="宋体" w:cs="Times New Roman"/>
                <w:color w:val="auto"/>
                <w:sz w:val="28"/>
                <w:szCs w:val="28"/>
                <w:lang w:val="en-US" w:eastAsia="zh-CN"/>
              </w:rPr>
              <w:t>《</w:t>
            </w:r>
            <w:r>
              <w:rPr>
                <w:rFonts w:hint="eastAsia" w:ascii="Times New Roman" w:eastAsia="宋体" w:cs="Times New Roman"/>
                <w:color w:val="auto"/>
                <w:sz w:val="28"/>
                <w:szCs w:val="28"/>
                <w:lang w:val="en-US" w:eastAsia="zh-CN"/>
              </w:rPr>
              <w:t>年产5000吨中量元素肥料生产线技改项目</w:t>
            </w:r>
            <w:r>
              <w:rPr>
                <w:rFonts w:hint="default" w:ascii="Times New Roman" w:hAnsi="Times New Roman" w:eastAsia="宋体" w:cs="Times New Roman"/>
                <w:color w:val="auto"/>
                <w:sz w:val="28"/>
                <w:szCs w:val="28"/>
                <w:lang w:val="en-US" w:eastAsia="zh-CN"/>
              </w:rPr>
              <w:t>环境影响报告表》</w:t>
            </w:r>
            <w:r>
              <w:rPr>
                <w:rFonts w:hint="eastAsia" w:ascii="Times New Roman" w:eastAsia="宋体" w:cs="Times New Roman"/>
                <w:color w:val="auto"/>
                <w:sz w:val="28"/>
                <w:szCs w:val="28"/>
                <w:lang w:val="en-US" w:eastAsia="zh-CN"/>
              </w:rPr>
              <w:t>，从性质、规模、地点、生产工艺、环保措施5个方面对照，本项目未发生重大变更。</w:t>
            </w:r>
          </w:p>
          <w:p>
            <w:pPr>
              <w:pStyle w:val="32"/>
              <w:jc w:val="center"/>
              <w:rPr>
                <w:rFonts w:hint="default"/>
                <w:b/>
                <w:bCs/>
                <w:lang w:val="en-US" w:eastAsia="zh-CN"/>
              </w:rPr>
            </w:pPr>
            <w:r>
              <w:rPr>
                <w:rFonts w:hint="eastAsia" w:ascii="Times New Roman" w:hAnsi="Times New Roman" w:cs="Times New Roman"/>
                <w:b/>
                <w:bCs/>
                <w:sz w:val="24"/>
                <w:szCs w:val="24"/>
                <w:lang w:val="en-US" w:eastAsia="zh-CN"/>
              </w:rPr>
              <w:t>表8 项目与环评情况变更对照表</w:t>
            </w:r>
          </w:p>
          <w:tbl>
            <w:tblPr>
              <w:tblStyle w:val="20"/>
              <w:tblW w:w="4997"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2"/>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项目</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是否与环评一致</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项目性质</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与环评一致</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
                    </w:rPr>
                    <w:t>规模</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与环评一致</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
                    </w:rPr>
                    <w:t>地点</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与环评一致</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
                    </w:rPr>
                    <w:t>生产工艺</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与环评一致</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
                    </w:rPr>
                    <w:t>环保措施</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与环评一致</w:t>
                  </w:r>
                </w:p>
              </w:tc>
              <w:tc>
                <w:tcPr>
                  <w:tcW w:w="1533" w:type="pct"/>
                  <w:tcBorders>
                    <w:tl2br w:val="nil"/>
                    <w:tr2bl w:val="nil"/>
                  </w:tcBorders>
                  <w:vAlign w:val="center"/>
                </w:tcPr>
                <w:p>
                  <w:pPr>
                    <w:pStyle w:val="32"/>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val="0"/>
                      <w:bCs w:val="0"/>
                      <w:color w:val="auto"/>
                      <w:kern w:val="2"/>
                      <w:sz w:val="21"/>
                      <w:szCs w:val="21"/>
                      <w:highlight w:val="none"/>
                      <w:u w:val="none" w:color="auto"/>
                      <w:vertAlign w:val="baseline"/>
                      <w:lang w:val="en-US" w:eastAsia="zh-CN" w:bidi="ar"/>
                    </w:rPr>
                  </w:pPr>
                  <w:r>
                    <w:rPr>
                      <w:rFonts w:hint="eastAsia" w:ascii="Times New Roman" w:hAnsi="Times New Roman" w:cs="Times New Roman"/>
                      <w:b w:val="0"/>
                      <w:bCs w:val="0"/>
                      <w:color w:val="auto"/>
                      <w:kern w:val="2"/>
                      <w:sz w:val="21"/>
                      <w:szCs w:val="21"/>
                      <w:highlight w:val="none"/>
                      <w:u w:val="none" w:color="auto"/>
                      <w:vertAlign w:val="baseline"/>
                      <w:lang w:val="en-US" w:eastAsia="zh-CN" w:bidi="ar"/>
                    </w:rPr>
                    <w:t>无变更</w:t>
                  </w:r>
                </w:p>
              </w:tc>
            </w:tr>
          </w:tbl>
          <w:p>
            <w:pPr>
              <w:widowControl/>
              <w:spacing w:line="336" w:lineRule="auto"/>
              <w:ind w:firstLine="560" w:firstLineChars="200"/>
              <w:outlineLvl w:val="0"/>
              <w:rPr>
                <w:rFonts w:hint="default"/>
                <w:lang w:val="en-US" w:eastAsia="zh-CN"/>
              </w:rPr>
            </w:pPr>
            <w:r>
              <w:rPr>
                <w:rFonts w:hint="eastAsia" w:cs="Times New Roman"/>
                <w:b w:val="0"/>
                <w:bCs w:val="0"/>
                <w:color w:val="auto"/>
                <w:kern w:val="2"/>
                <w:sz w:val="28"/>
                <w:szCs w:val="28"/>
                <w:highlight w:val="none"/>
                <w:u w:val="none" w:color="auto"/>
                <w:lang w:val="en-US" w:eastAsia="zh-CN" w:bidi="ar"/>
              </w:rPr>
              <w:t>经过现场核实，项目实际建设情况与环评内容进行比对，本项目无重大变更项。</w:t>
            </w:r>
          </w:p>
        </w:tc>
      </w:tr>
    </w:tbl>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2"/>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四</w:t>
      </w:r>
    </w:p>
    <w:tbl>
      <w:tblPr>
        <w:tblStyle w:val="19"/>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8" w:hRule="atLeast"/>
          <w:jc w:val="center"/>
        </w:trPr>
        <w:tc>
          <w:tcPr>
            <w:tcW w:w="9039" w:type="dxa"/>
          </w:tcPr>
          <w:p>
            <w:pPr>
              <w:pStyle w:val="2"/>
              <w:spacing w:line="484" w:lineRule="exact"/>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建设项目环境影响报告主要结论及审批部门审批决定：</w:t>
            </w:r>
          </w:p>
          <w:p>
            <w:pPr>
              <w:spacing w:line="360" w:lineRule="auto"/>
              <w:ind w:firstLine="562" w:firstLineChars="200"/>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环境影响报告表主要结论：</w:t>
            </w:r>
          </w:p>
          <w:p>
            <w:pPr>
              <w:pStyle w:val="2"/>
              <w:spacing w:line="360" w:lineRule="auto"/>
              <w:ind w:right="224"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①水环境影响分析结论</w:t>
            </w:r>
          </w:p>
          <w:p>
            <w:pPr>
              <w:pStyle w:val="2"/>
              <w:spacing w:line="360" w:lineRule="auto"/>
              <w:ind w:right="224" w:firstLine="560" w:firstLineChars="200"/>
              <w:rPr>
                <w:rFonts w:hint="eastAsia" w:ascii="宋体" w:hAnsi="宋体" w:eastAsia="宋体" w:cs="宋体"/>
                <w:sz w:val="28"/>
                <w:szCs w:val="28"/>
                <w:lang w:eastAsia="zh-CN"/>
              </w:rPr>
            </w:pPr>
            <w:r>
              <w:rPr>
                <w:rFonts w:hint="eastAsia" w:ascii="Times New Roman" w:hAnsi="Times New Roman" w:eastAsia="宋体" w:cs="Times New Roman"/>
                <w:b w:val="0"/>
                <w:bCs w:val="0"/>
                <w:color w:val="auto"/>
                <w:sz w:val="28"/>
                <w:szCs w:val="28"/>
                <w:lang w:val="en-US" w:eastAsia="zh-CN"/>
              </w:rPr>
              <w:t>本项目无生产废水产生。</w:t>
            </w:r>
            <w:r>
              <w:rPr>
                <w:rFonts w:hint="default" w:ascii="Times New Roman" w:hAnsi="Times New Roman" w:eastAsia="宋体" w:cs="Times New Roman"/>
                <w:b w:val="0"/>
                <w:bCs w:val="0"/>
                <w:color w:val="auto"/>
                <w:sz w:val="28"/>
                <w:szCs w:val="28"/>
                <w:lang w:val="en-US" w:eastAsia="zh-CN"/>
              </w:rPr>
              <w:t>项目不新增劳动定员，拟依托公司现有人员，不新增生活污水；故新增无生活废水外排。</w:t>
            </w:r>
          </w:p>
          <w:p>
            <w:pPr>
              <w:pStyle w:val="2"/>
              <w:spacing w:line="360" w:lineRule="auto"/>
              <w:ind w:right="224" w:firstLine="560" w:firstLineChars="200"/>
              <w:rPr>
                <w:rFonts w:hint="default" w:ascii="Times New Roman" w:hAnsi="Times New Roman" w:eastAsia="宋体" w:cs="Times New Roman"/>
                <w:sz w:val="28"/>
                <w:szCs w:val="28"/>
                <w:lang w:eastAsia="zh-CN"/>
              </w:rPr>
            </w:pPr>
            <w:r>
              <w:rPr>
                <w:rFonts w:hint="eastAsia" w:ascii="宋体" w:hAnsi="宋体" w:eastAsia="宋体" w:cs="宋体"/>
                <w:sz w:val="28"/>
                <w:szCs w:val="28"/>
                <w:lang w:eastAsia="zh-CN"/>
              </w:rPr>
              <w:t>②</w:t>
            </w:r>
            <w:r>
              <w:rPr>
                <w:rFonts w:hint="default" w:ascii="Times New Roman" w:hAnsi="Times New Roman" w:eastAsia="宋体" w:cs="Times New Roman"/>
                <w:sz w:val="28"/>
                <w:szCs w:val="28"/>
                <w:lang w:eastAsia="zh-CN"/>
              </w:rPr>
              <w:t>声环境影响分析结论</w:t>
            </w:r>
          </w:p>
          <w:p>
            <w:pPr>
              <w:pStyle w:val="2"/>
              <w:spacing w:line="360" w:lineRule="auto"/>
              <w:ind w:right="224" w:firstLine="560" w:firstLineChars="200"/>
              <w:rPr>
                <w:rFonts w:hint="default" w:cs="Times New Roman"/>
                <w:b w:val="0"/>
                <w:bCs w:val="0"/>
                <w:color w:val="auto"/>
                <w:sz w:val="28"/>
                <w:szCs w:val="28"/>
                <w:lang w:val="en-US" w:eastAsia="zh-CN"/>
              </w:rPr>
            </w:pPr>
            <w:r>
              <w:rPr>
                <w:rFonts w:hint="eastAsia" w:cs="Times New Roman"/>
                <w:b w:val="0"/>
                <w:bCs w:val="0"/>
                <w:color w:val="auto"/>
                <w:sz w:val="28"/>
                <w:szCs w:val="28"/>
                <w:lang w:val="en-US" w:eastAsia="zh-CN"/>
              </w:rPr>
              <w:t>建设单位在生产时保证门窗密闭，源强经过生产设备机座减振、车间合理布局、厂房隔声等作用后，厂界噪声能够达到《工业企业厂界环境噪声排放标准》(GB12348-2008）表1中3类要求。项目运营期噪声对周边环境影响较小。</w:t>
            </w:r>
          </w:p>
          <w:p>
            <w:pPr>
              <w:pStyle w:val="2"/>
              <w:spacing w:line="360" w:lineRule="auto"/>
              <w:ind w:right="224" w:firstLine="560" w:firstLineChars="200"/>
              <w:rPr>
                <w:rFonts w:hint="default" w:ascii="Times New Roman" w:hAnsi="Times New Roman" w:eastAsia="宋体" w:cs="Times New Roman"/>
                <w:sz w:val="28"/>
                <w:szCs w:val="28"/>
                <w:lang w:eastAsia="zh-CN"/>
              </w:rPr>
            </w:pPr>
            <w:r>
              <w:rPr>
                <w:rFonts w:hint="eastAsia" w:ascii="宋体" w:hAnsi="宋体" w:eastAsia="宋体" w:cs="宋体"/>
                <w:sz w:val="28"/>
                <w:szCs w:val="28"/>
                <w:lang w:eastAsia="zh-CN"/>
              </w:rPr>
              <w:t>③</w:t>
            </w:r>
            <w:r>
              <w:rPr>
                <w:rFonts w:hint="default" w:ascii="Times New Roman" w:hAnsi="Times New Roman" w:eastAsia="宋体" w:cs="Times New Roman"/>
                <w:sz w:val="28"/>
                <w:szCs w:val="28"/>
                <w:lang w:eastAsia="zh-CN"/>
              </w:rPr>
              <w:t>固废环境影响分析结论</w:t>
            </w:r>
          </w:p>
          <w:p>
            <w:pPr>
              <w:widowControl/>
              <w:spacing w:line="360" w:lineRule="auto"/>
              <w:ind w:firstLine="560" w:firstLineChars="200"/>
              <w:rPr>
                <w:rFonts w:hint="default" w:cs="Times New Roman"/>
                <w:b w:val="0"/>
                <w:bCs w:val="0"/>
                <w:color w:val="auto"/>
                <w:sz w:val="28"/>
                <w:szCs w:val="28"/>
                <w:highlight w:val="none"/>
                <w:lang w:val="en-US" w:eastAsia="zh-CN"/>
              </w:rPr>
            </w:pPr>
            <w:r>
              <w:rPr>
                <w:rFonts w:hint="eastAsia" w:cs="Times New Roman"/>
                <w:b w:val="0"/>
                <w:bCs w:val="0"/>
                <w:color w:val="auto"/>
                <w:sz w:val="28"/>
                <w:szCs w:val="28"/>
                <w:highlight w:val="none"/>
                <w:lang w:val="en-US" w:eastAsia="zh-CN"/>
              </w:rPr>
              <w:t>生活垃圾经垃圾桶收集后，交给环卫部门统一清运。废包装袋等材料暂存于一般固废暂存间，定期由供应商进行回收。</w:t>
            </w:r>
          </w:p>
          <w:p>
            <w:pPr>
              <w:widowControl/>
              <w:spacing w:line="360" w:lineRule="auto"/>
              <w:ind w:firstLine="560" w:firstLineChars="200"/>
              <w:rPr>
                <w:rFonts w:hint="default" w:cs="Times New Roman"/>
                <w:b w:val="0"/>
                <w:bCs w:val="0"/>
                <w:color w:val="auto"/>
                <w:sz w:val="28"/>
                <w:szCs w:val="28"/>
                <w:highlight w:val="none"/>
                <w:lang w:val="en-US" w:eastAsia="zh-CN"/>
              </w:rPr>
            </w:pPr>
            <w:r>
              <w:rPr>
                <w:rFonts w:hint="default" w:cs="Times New Roman"/>
                <w:b w:val="0"/>
                <w:bCs w:val="0"/>
                <w:color w:val="auto"/>
                <w:sz w:val="28"/>
                <w:szCs w:val="28"/>
                <w:highlight w:val="none"/>
                <w:lang w:val="en-US" w:eastAsia="zh-CN"/>
              </w:rPr>
              <w:t>通过采取上述治理措施后，项目营运期各污染物对周边环境的影响很小。</w:t>
            </w:r>
          </w:p>
          <w:p>
            <w:pPr>
              <w:widowControl/>
              <w:spacing w:line="360" w:lineRule="auto"/>
              <w:ind w:firstLine="562" w:firstLineChars="200"/>
              <w:rPr>
                <w:rFonts w:hint="default" w:ascii="Times New Roman" w:hAnsi="Times New Roman" w:eastAsia="宋体" w:cs="Times New Roman"/>
                <w:b/>
                <w:bCs/>
                <w:sz w:val="28"/>
                <w:szCs w:val="28"/>
                <w:lang w:eastAsia="zh-CN" w:bidi="ar"/>
              </w:rPr>
            </w:pPr>
            <w:r>
              <w:rPr>
                <w:rFonts w:hint="default" w:ascii="Times New Roman" w:hAnsi="Times New Roman" w:eastAsia="宋体" w:cs="Times New Roman"/>
                <w:b/>
                <w:bCs/>
                <w:sz w:val="28"/>
                <w:szCs w:val="28"/>
                <w:lang w:eastAsia="zh-CN" w:bidi="ar"/>
              </w:rPr>
              <w:t>审批部门审批决定：</w:t>
            </w:r>
          </w:p>
          <w:p>
            <w:pPr>
              <w:pStyle w:val="2"/>
              <w:spacing w:line="360" w:lineRule="auto"/>
              <w:ind w:right="224" w:firstLine="560" w:firstLineChars="200"/>
              <w:rPr>
                <w:rFonts w:hint="default" w:ascii="Times New Roman" w:hAnsi="Times New Roman" w:eastAsia="宋体" w:cs="Times New Roman"/>
                <w:sz w:val="28"/>
                <w:szCs w:val="28"/>
                <w:lang w:eastAsia="zh-CN"/>
              </w:rPr>
            </w:pPr>
            <w:r>
              <w:rPr>
                <w:rFonts w:hint="eastAsia" w:cs="Times New Roman"/>
                <w:sz w:val="28"/>
                <w:szCs w:val="28"/>
                <w:lang w:eastAsia="zh-CN"/>
              </w:rPr>
              <w:t>岳阳市康源邦尔生物技术有限责任公司</w:t>
            </w:r>
            <w:r>
              <w:rPr>
                <w:rFonts w:hint="default" w:ascii="Times New Roman" w:hAnsi="Times New Roman" w:eastAsia="宋体" w:cs="Times New Roman"/>
                <w:sz w:val="28"/>
                <w:szCs w:val="28"/>
                <w:lang w:eastAsia="zh-CN"/>
              </w:rPr>
              <w:t>：</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lang w:eastAsia="zh-CN" w:bidi="ar"/>
              </w:rPr>
            </w:pPr>
            <w:r>
              <w:rPr>
                <w:rFonts w:hint="default" w:ascii="Times New Roman" w:hAnsi="Times New Roman" w:eastAsia="宋体" w:cs="Times New Roman"/>
                <w:sz w:val="28"/>
                <w:szCs w:val="28"/>
                <w:lang w:eastAsia="zh-CN" w:bidi="ar"/>
              </w:rPr>
              <w:t>你公司《关于申请对</w:t>
            </w:r>
            <w:r>
              <w:rPr>
                <w:rFonts w:hint="eastAsia" w:cs="Times New Roman"/>
                <w:sz w:val="28"/>
                <w:szCs w:val="28"/>
                <w:lang w:eastAsia="zh-CN" w:bidi="ar"/>
              </w:rPr>
              <w:t>年产5000吨中量元素肥料生产线技改项目环境影响报告表进行批复的函</w:t>
            </w:r>
            <w:r>
              <w:rPr>
                <w:rFonts w:hint="default" w:ascii="Times New Roman" w:hAnsi="Times New Roman" w:eastAsia="宋体" w:cs="Times New Roman"/>
                <w:sz w:val="28"/>
                <w:szCs w:val="28"/>
                <w:lang w:eastAsia="zh-CN" w:bidi="ar"/>
              </w:rPr>
              <w:t>》及有关附件收悉,经研究,批复如下:</w:t>
            </w:r>
          </w:p>
          <w:p>
            <w:pPr>
              <w:keepNext w:val="0"/>
              <w:keepLines w:val="0"/>
              <w:pageBreakBefore w:val="0"/>
              <w:widowControl/>
              <w:numPr>
                <w:ilvl w:val="0"/>
                <w:numId w:val="2"/>
              </w:numPr>
              <w:kinsoku/>
              <w:wordWrap/>
              <w:overflowPunct/>
              <w:topLinePunct w:val="0"/>
              <w:autoSpaceDE w:val="0"/>
              <w:autoSpaceDN w:val="0"/>
              <w:bidi w:val="0"/>
              <w:adjustRightInd/>
              <w:snapToGrid/>
              <w:spacing w:line="360" w:lineRule="auto"/>
              <w:ind w:firstLine="560" w:firstLineChars="200"/>
              <w:textAlignment w:val="auto"/>
              <w:rPr>
                <w:rFonts w:hint="eastAsia" w:cs="Times New Roman"/>
                <w:sz w:val="28"/>
                <w:szCs w:val="28"/>
                <w:lang w:val="en-US" w:eastAsia="zh-CN" w:bidi="ar"/>
              </w:rPr>
            </w:pPr>
            <w:r>
              <w:rPr>
                <w:rFonts w:hint="eastAsia" w:cs="Times New Roman"/>
                <w:sz w:val="28"/>
                <w:szCs w:val="28"/>
                <w:lang w:val="en-US" w:eastAsia="zh-CN" w:bidi="ar"/>
              </w:rPr>
              <w:t>年产5000吨中量元素肥料生产线技改项目位于湖南岳阳绿色化工产业园内。项目占地500m'，总投资650万元，其中环保投资20万元，占总投资的3.08%。项目主要建设内容为:拟将现有生态水质改良系列产品富酶利生素2000吨生产线、调水宝3000吨生产线进行生产设备技术改造，其中，将现有15L全自动小种子罐1个升级改造为1T的小型配料桶，将现有500L温控自动发酵罐1个升级改造为ST的大型配料桶，其余工程均依托现有，且改造后的设备均单独作为中量元素肥料生产线使用。项目主要原辅材料为:硅酸钾溶液、黄腐酸、水。主要生产规模为:年产中量元素肥料5000吨。</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bidi="ar"/>
              </w:rPr>
            </w:pPr>
            <w:r>
              <w:rPr>
                <w:rFonts w:hint="default" w:ascii="Times New Roman" w:hAnsi="Times New Roman" w:eastAsia="宋体" w:cs="Times New Roman"/>
                <w:sz w:val="28"/>
                <w:szCs w:val="28"/>
                <w:lang w:val="en-US" w:eastAsia="zh-CN" w:bidi="ar"/>
              </w:rPr>
              <w:t>根据湖南衡润科技有限公司编制的建设项目环境影响报告表基本内容、结论和专家评审意见，综合考虑，我局原则同意你单位环境影响报告表中环境影响评价结论和环境保护对策措施。</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cs="Times New Roman"/>
                <w:sz w:val="28"/>
                <w:szCs w:val="28"/>
                <w:lang w:val="en-US" w:eastAsia="zh-CN" w:bidi="ar"/>
              </w:rPr>
            </w:pPr>
            <w:r>
              <w:rPr>
                <w:rFonts w:hint="default" w:ascii="Times New Roman" w:hAnsi="Times New Roman" w:cs="Times New Roman"/>
                <w:sz w:val="28"/>
                <w:szCs w:val="28"/>
                <w:lang w:val="en-US" w:eastAsia="zh-CN" w:bidi="ar"/>
              </w:rPr>
              <w:t>二、项目在施工及营运期间必须全面落实专家及环境影响报告表中提出的整改措施，加强环境管理，确保各项污染物长期稳定达标排放，并着重做好以下几点工作::</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Times New Roman" w:hAnsi="Times New Roman" w:eastAsia="宋体" w:cs="Times New Roman"/>
                <w:sz w:val="28"/>
                <w:szCs w:val="28"/>
                <w:lang w:val="en-US" w:eastAsia="zh-CN" w:bidi="ar"/>
              </w:rPr>
            </w:pPr>
            <w:r>
              <w:rPr>
                <w:rFonts w:hint="eastAsia" w:ascii="Times New Roman" w:hAnsi="Times New Roman" w:eastAsia="宋体" w:cs="Times New Roman"/>
                <w:sz w:val="28"/>
                <w:szCs w:val="28"/>
                <w:lang w:val="en-US" w:eastAsia="zh-CN" w:bidi="ar"/>
              </w:rPr>
              <w:t>1.加强废水污染防治工作。项目须严格按照“雨污分流。清污分流、污污分流”的原则完善厂区雨污水管网。设备清洗水妥善保存后，回用于生产不外排。</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bidi="ar"/>
              </w:rPr>
            </w:pPr>
            <w:r>
              <w:rPr>
                <w:rFonts w:hint="default" w:ascii="Times New Roman" w:hAnsi="Times New Roman" w:eastAsia="宋体" w:cs="Times New Roman"/>
                <w:sz w:val="28"/>
                <w:szCs w:val="28"/>
                <w:lang w:val="en-US" w:eastAsia="zh-CN" w:bidi="ar"/>
              </w:rPr>
              <w:t>2.加强固体废物污染防治工作。项目产生的固废主要为原料包装袋，应按照《一般工业固体废物贮存和填埋污染控制标准》(GB18599</w:t>
            </w:r>
            <w:r>
              <w:rPr>
                <w:rFonts w:hint="eastAsia" w:cs="Times New Roman"/>
                <w:sz w:val="28"/>
                <w:szCs w:val="28"/>
                <w:lang w:val="en-US" w:eastAsia="zh-CN" w:bidi="ar"/>
              </w:rPr>
              <w:t>-</w:t>
            </w:r>
            <w:r>
              <w:rPr>
                <w:rFonts w:hint="default" w:ascii="Times New Roman" w:hAnsi="Times New Roman" w:eastAsia="宋体" w:cs="Times New Roman"/>
                <w:sz w:val="28"/>
                <w:szCs w:val="28"/>
                <w:lang w:val="en-US" w:eastAsia="zh-CN" w:bidi="ar"/>
              </w:rPr>
              <w:t>2020)安全贮存、妥善处置。</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Times New Roman" w:hAnsi="Times New Roman" w:eastAsia="宋体" w:cs="Times New Roman"/>
                <w:sz w:val="28"/>
                <w:szCs w:val="28"/>
                <w:lang w:val="en-US" w:eastAsia="zh-CN" w:bidi="ar"/>
              </w:rPr>
            </w:pPr>
            <w:r>
              <w:rPr>
                <w:rFonts w:hint="eastAsia" w:ascii="Times New Roman" w:hAnsi="Times New Roman" w:eastAsia="宋体" w:cs="Times New Roman"/>
                <w:sz w:val="28"/>
                <w:szCs w:val="28"/>
                <w:lang w:val="en-US" w:eastAsia="zh-CN" w:bidi="ar"/>
              </w:rPr>
              <w:t>3.加强噪声污染防治工作。采用低噪声设备，对产生噪声的设备和工序合理布局，并采取隔声、减震等措施，确保厂界噪声达到《工业企业厂界环境噪声排放标准》(GB12348-2008)中的3类标准要求。</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bidi="ar"/>
              </w:rPr>
            </w:pPr>
            <w:r>
              <w:rPr>
                <w:rFonts w:hint="default" w:ascii="Times New Roman" w:hAnsi="Times New Roman" w:eastAsia="宋体" w:cs="Times New Roman"/>
                <w:sz w:val="28"/>
                <w:szCs w:val="28"/>
                <w:lang w:val="en-US" w:eastAsia="zh-CN" w:bidi="ar"/>
              </w:rPr>
              <w:t>4.加强地下水污染防治工作。按照“源头控制、分区防治、污染监控、应急响应”相结合的原则，制定并实施源头控制措施、分区防渗措施、污染监控计划、风险事故应急响应方案等，从源头上减少污染物的产生，防止环境污染。同时，严格按照国家相关规范要求，对工艺、管道、设备及防渗构建物采取相应措施，防止和降低污染物的跑、冒、滴、漏;根据分区防渗要求做好重点防腐防渗工作，强化管理，避免由于泄漏污染地下水。</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bidi="ar"/>
              </w:rPr>
            </w:pPr>
            <w:r>
              <w:rPr>
                <w:rFonts w:hint="default" w:ascii="Times New Roman" w:hAnsi="Times New Roman" w:eastAsia="宋体" w:cs="Times New Roman"/>
                <w:sz w:val="28"/>
                <w:szCs w:val="28"/>
                <w:lang w:val="en-US" w:eastAsia="zh-CN" w:bidi="ar"/>
              </w:rPr>
              <w:t>5.加强营运期风险防范。严格落实报告表提出的各项环境风险防范措施;按照《突发环境事件应急管理办法》修订完善突发环境事件应急预案，储备风险教助物资并组织演练，杜绝环境风险事故发生。</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bidi="ar"/>
              </w:rPr>
            </w:pPr>
            <w:r>
              <w:rPr>
                <w:rFonts w:hint="default" w:ascii="Times New Roman" w:hAnsi="Times New Roman" w:eastAsia="宋体" w:cs="Times New Roman"/>
                <w:sz w:val="28"/>
                <w:szCs w:val="28"/>
                <w:lang w:val="en-US" w:eastAsia="zh-CN" w:bidi="ar"/>
              </w:rPr>
              <w:t>6.加强环境管理.建立健全污染防治设施运行管理台帐，设专门的环保机构及环保人员，确保各项污染防治设施的正常运行，各类污染物稳定达标排放。</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bidi="ar"/>
              </w:rPr>
            </w:pPr>
            <w:r>
              <w:rPr>
                <w:rFonts w:hint="default" w:ascii="Times New Roman" w:hAnsi="Times New Roman" w:eastAsia="宋体" w:cs="Times New Roman"/>
                <w:sz w:val="28"/>
                <w:szCs w:val="28"/>
                <w:lang w:val="en-US" w:eastAsia="zh-CN" w:bidi="ar"/>
              </w:rPr>
              <w:t>三、你公司应自收到本批复后15个工作日内，将批复送至湖南衡润科技有限公司。</w:t>
            </w:r>
          </w:p>
          <w:p>
            <w:pPr>
              <w:keepNext w:val="0"/>
              <w:keepLines w:val="0"/>
              <w:pageBreakBefore w:val="0"/>
              <w:widowControl/>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ascii="Times New Roman" w:hAnsi="Times New Roman" w:eastAsia="宋体" w:cs="Times New Roman"/>
                <w:sz w:val="28"/>
                <w:szCs w:val="28"/>
                <w:lang w:val="en-US" w:eastAsia="zh-CN" w:bidi="ar"/>
              </w:rPr>
            </w:pPr>
            <w:r>
              <w:rPr>
                <w:rFonts w:hint="default" w:ascii="Times New Roman" w:hAnsi="Times New Roman" w:eastAsia="宋体" w:cs="Times New Roman"/>
                <w:sz w:val="28"/>
                <w:szCs w:val="28"/>
                <w:lang w:val="en-US" w:eastAsia="zh-CN" w:bidi="ar"/>
              </w:rPr>
              <w:t>四、岳阳市云溪生态环境保护综合行政执法大队负责该项目的日常环境监管。</w:t>
            </w:r>
          </w:p>
          <w:p>
            <w:pPr>
              <w:pStyle w:val="35"/>
              <w:spacing w:line="360" w:lineRule="auto"/>
              <w:ind w:firstLine="551" w:firstLineChars="196"/>
              <w:jc w:val="left"/>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环境影响报告批复要求落实情况：</w:t>
            </w:r>
          </w:p>
          <w:p>
            <w:pPr>
              <w:pStyle w:val="35"/>
              <w:spacing w:before="7" w:line="360" w:lineRule="auto"/>
              <w:ind w:left="107" w:right="164" w:firstLine="480"/>
              <w:jc w:val="left"/>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本项目环境影响报告表的批复情况及企业落实情况详见表</w:t>
            </w:r>
            <w:r>
              <w:rPr>
                <w:rFonts w:hint="eastAsia" w:cs="Times New Roman"/>
                <w:sz w:val="28"/>
                <w:szCs w:val="28"/>
                <w:lang w:val="en-US" w:eastAsia="zh-CN"/>
              </w:rPr>
              <w:t>9</w:t>
            </w:r>
            <w:r>
              <w:rPr>
                <w:rFonts w:hint="default" w:ascii="Times New Roman" w:hAnsi="Times New Roman" w:eastAsia="宋体" w:cs="Times New Roman"/>
                <w:sz w:val="28"/>
                <w:szCs w:val="28"/>
                <w:lang w:eastAsia="zh-CN"/>
              </w:rPr>
              <w:t>。</w:t>
            </w:r>
          </w:p>
          <w:p>
            <w:pPr>
              <w:autoSpaceDE/>
              <w:autoSpaceDN/>
              <w:spacing w:line="360" w:lineRule="auto"/>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 xml:space="preserve">9 </w:t>
            </w:r>
            <w:r>
              <w:rPr>
                <w:rFonts w:hint="default" w:ascii="Times New Roman" w:hAnsi="Times New Roman" w:eastAsia="宋体" w:cs="Times New Roman"/>
                <w:b/>
                <w:bCs/>
                <w:sz w:val="24"/>
                <w:szCs w:val="24"/>
                <w:lang w:eastAsia="zh-CN"/>
              </w:rPr>
              <w:t>环评及批复文件中环境风险防控措施的落实情况一览表</w:t>
            </w:r>
          </w:p>
          <w:tbl>
            <w:tblPr>
              <w:tblStyle w:val="19"/>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3442"/>
              <w:gridCol w:w="3287"/>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4"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序号</w:t>
                  </w:r>
                </w:p>
              </w:tc>
              <w:tc>
                <w:tcPr>
                  <w:tcW w:w="1953" w:type="pct"/>
                  <w:tcBorders>
                    <w:tl2br w:val="nil"/>
                    <w:tr2bl w:val="nil"/>
                  </w:tcBorders>
                  <w:vAlign w:val="center"/>
                </w:tcPr>
                <w:p>
                  <w:pPr>
                    <w:widowControl/>
                    <w:numPr>
                      <w:ilvl w:val="0"/>
                      <w:numId w:val="0"/>
                    </w:numPr>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环评批复及要求</w:t>
                  </w:r>
                </w:p>
              </w:tc>
              <w:tc>
                <w:tcPr>
                  <w:tcW w:w="1865"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企业落实情况</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4"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1</w:t>
                  </w:r>
                </w:p>
              </w:tc>
              <w:tc>
                <w:tcPr>
                  <w:tcW w:w="1953"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sz w:val="21"/>
                      <w:szCs w:val="21"/>
                      <w:lang w:val="en-US" w:eastAsia="zh-CN" w:bidi="ar"/>
                    </w:rPr>
                    <w:t>加强固体废物污染防治工作。项目产生的固废主要为原料包装袋，应按照《一般工业固体废物贮存和填埋污染控制标准》(GB18599</w:t>
                  </w:r>
                  <w:r>
                    <w:rPr>
                      <w:rFonts w:hint="eastAsia" w:ascii="Times New Roman" w:hAnsi="Times New Roman" w:eastAsia="宋体" w:cs="Times New Roman"/>
                      <w:sz w:val="21"/>
                      <w:szCs w:val="21"/>
                      <w:lang w:val="en-US" w:eastAsia="zh-CN" w:bidi="ar"/>
                    </w:rPr>
                    <w:t>--</w:t>
                  </w:r>
                  <w:r>
                    <w:rPr>
                      <w:rFonts w:hint="default" w:ascii="Times New Roman" w:hAnsi="Times New Roman" w:eastAsia="宋体" w:cs="Times New Roman"/>
                      <w:sz w:val="21"/>
                      <w:szCs w:val="21"/>
                      <w:lang w:val="en-US" w:eastAsia="zh-CN" w:bidi="ar"/>
                    </w:rPr>
                    <w:t>2020)安全贮存、妥善处置。</w:t>
                  </w:r>
                </w:p>
              </w:tc>
              <w:tc>
                <w:tcPr>
                  <w:tcW w:w="1865"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val="en-US" w:eastAsia="zh-CN" w:bidi="ar"/>
                    </w:rPr>
                  </w:pPr>
                  <w:r>
                    <w:rPr>
                      <w:rFonts w:hint="eastAsia" w:cs="Times New Roman"/>
                      <w:sz w:val="21"/>
                      <w:szCs w:val="21"/>
                      <w:lang w:val="en-US" w:eastAsia="zh-CN" w:bidi="ar"/>
                    </w:rPr>
                    <w:t>项目厂区原有一般固废暂存间，项目产生的一般固废统一存放在一般工费暂存间内。</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4"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2</w:t>
                  </w:r>
                </w:p>
              </w:tc>
              <w:tc>
                <w:tcPr>
                  <w:tcW w:w="1953"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加强废水污染防治工作。项目须严格按照“雨污分流。清污分流、污污分流”的原则完善厂区雨污水管网。设备清洗水妥善保存后，回用于生产不外排。</w:t>
                  </w:r>
                </w:p>
              </w:tc>
              <w:tc>
                <w:tcPr>
                  <w:tcW w:w="1865" w:type="pct"/>
                  <w:tcBorders>
                    <w:tl2br w:val="nil"/>
                    <w:tr2bl w:val="nil"/>
                  </w:tcBorders>
                  <w:vAlign w:val="center"/>
                </w:tcPr>
                <w:p>
                  <w:pPr>
                    <w:widowControl/>
                    <w:numPr>
                      <w:ilvl w:val="0"/>
                      <w:numId w:val="0"/>
                    </w:numPr>
                    <w:spacing w:line="240" w:lineRule="auto"/>
                    <w:ind w:left="240" w:leftChars="0"/>
                    <w:jc w:val="center"/>
                    <w:rPr>
                      <w:rFonts w:hint="default"/>
                      <w:lang w:val="en-US" w:eastAsia="zh-CN"/>
                    </w:rPr>
                  </w:pPr>
                  <w:r>
                    <w:rPr>
                      <w:rFonts w:hint="eastAsia" w:ascii="Times New Roman" w:hAnsi="Times New Roman" w:eastAsia="宋体" w:cs="Times New Roman"/>
                      <w:sz w:val="21"/>
                      <w:szCs w:val="21"/>
                      <w:lang w:val="en-US" w:eastAsia="zh-CN"/>
                    </w:rPr>
                    <w:t>项目依托原厂区雨污管网，项目本身不产生废水，雨水进入雨水管网再进入园区雨水管网。</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4"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eastAsia="zh-CN" w:bidi="ar"/>
                      <w14:textFill>
                        <w14:solidFill>
                          <w14:schemeClr w14:val="tx1"/>
                        </w14:solidFill>
                      </w14:textFill>
                    </w:rPr>
                    <w:t>3</w:t>
                  </w:r>
                </w:p>
              </w:tc>
              <w:tc>
                <w:tcPr>
                  <w:tcW w:w="1953"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加强噪声污染防治工作。采用低噪声设备，对产生噪声的设备和工序合理布局，并采取隔声、减震等措施，确保厂界噪声达到《工业企业厂界环境噪声排放标准》(GB12348-2008)中的3类标准要求。</w:t>
                  </w:r>
                </w:p>
              </w:tc>
              <w:tc>
                <w:tcPr>
                  <w:tcW w:w="1865"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val="en-US" w:eastAsia="zh-CN" w:bidi="ar"/>
                    </w:rPr>
                  </w:pPr>
                  <w:r>
                    <w:rPr>
                      <w:rFonts w:hint="eastAsia" w:cs="Times New Roman"/>
                      <w:sz w:val="21"/>
                      <w:szCs w:val="21"/>
                      <w:lang w:eastAsia="zh-CN"/>
                    </w:rPr>
                    <w:t>项目</w:t>
                  </w:r>
                  <w:r>
                    <w:rPr>
                      <w:rFonts w:hint="eastAsia" w:cs="Times New Roman"/>
                      <w:sz w:val="21"/>
                      <w:szCs w:val="21"/>
                      <w:lang w:val="en-US" w:eastAsia="zh-CN"/>
                    </w:rPr>
                    <w:t>各高噪声设备布局合理，设置再厂房内，尽量采用低噪设备。对产生高噪声的设备采取隔声、减震措施确保</w:t>
                  </w:r>
                  <w:r>
                    <w:rPr>
                      <w:rFonts w:hint="default" w:cs="Times New Roman"/>
                      <w:sz w:val="21"/>
                      <w:szCs w:val="21"/>
                      <w:lang w:val="en-US" w:eastAsia="zh-CN" w:bidi="ar"/>
                    </w:rPr>
                    <w:t>厂界噪声达到《工业企业厂界环境噪声排放标准》(GB12348-2008）中的3类标准要求。</w:t>
                  </w:r>
                </w:p>
              </w:tc>
              <w:tc>
                <w:tcPr>
                  <w:tcW w:w="786" w:type="pct"/>
                  <w:tcBorders>
                    <w:tl2br w:val="nil"/>
                    <w:tr2bl w:val="nil"/>
                  </w:tcBorders>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4"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4</w:t>
                  </w:r>
                </w:p>
              </w:tc>
              <w:tc>
                <w:tcPr>
                  <w:tcW w:w="1953"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地下水污染防治工作。按照“源头控制、分区防治、污染监控、应急响应”相结合的原则，制定并实施源头控制措施、分区防渗措施、污染监控计划、风险事故应急响应方案等，从源头上减少污染物的产生，防止环境污染。同时，严格按照国家相关规范要求，对工艺、管道、设备及防渗构建物采取相应措施，防止和降低污染物的跑、冒、滴、漏;根据分区防渗要求做好重点防腐防渗工作，强化管理，避免由于泄漏污染地下水。</w:t>
                  </w:r>
                </w:p>
              </w:tc>
              <w:tc>
                <w:tcPr>
                  <w:tcW w:w="1865" w:type="pct"/>
                  <w:tcBorders>
                    <w:tl2br w:val="nil"/>
                    <w:tr2bl w:val="nil"/>
                  </w:tcBorders>
                  <w:vAlign w:val="center"/>
                </w:tcPr>
                <w:p>
                  <w:pPr>
                    <w:spacing w:line="240" w:lineRule="auto"/>
                    <w:jc w:val="center"/>
                    <w:rPr>
                      <w:rFonts w:hint="default" w:cs="Times New Roman"/>
                      <w:sz w:val="21"/>
                      <w:szCs w:val="21"/>
                      <w:lang w:val="en-US" w:eastAsia="zh-CN"/>
                    </w:rPr>
                  </w:pPr>
                  <w:r>
                    <w:rPr>
                      <w:rFonts w:hint="eastAsia" w:ascii="Times New Roman" w:hAnsi="Times New Roman" w:eastAsia="宋体" w:cs="Times New Roman"/>
                      <w:sz w:val="21"/>
                      <w:szCs w:val="21"/>
                      <w:lang w:val="en-US" w:eastAsia="zh-CN"/>
                    </w:rPr>
                    <w:t>厂区</w:t>
                  </w:r>
                  <w:r>
                    <w:rPr>
                      <w:rFonts w:hint="default" w:ascii="Times New Roman" w:hAnsi="Times New Roman" w:eastAsia="宋体" w:cs="Times New Roman"/>
                      <w:sz w:val="21"/>
                      <w:szCs w:val="21"/>
                      <w:lang w:val="en-US" w:eastAsia="zh-CN"/>
                    </w:rPr>
                    <w:t>实施源头控制措施、分区防渗措施、污染监控计划、风险事故应急响应方案等，从源头上减少污染物的产生，防止环境污染。</w:t>
                  </w:r>
                  <w:r>
                    <w:rPr>
                      <w:rFonts w:hint="eastAsia" w:ascii="Times New Roman" w:hAnsi="Times New Roman" w:eastAsia="宋体" w:cs="Times New Roman"/>
                      <w:sz w:val="21"/>
                      <w:szCs w:val="21"/>
                      <w:lang w:val="en-US" w:eastAsia="zh-CN"/>
                    </w:rPr>
                    <w:t>验收期间厂区内无跑</w:t>
                  </w:r>
                  <w:r>
                    <w:rPr>
                      <w:rFonts w:hint="default" w:ascii="Times New Roman" w:hAnsi="Times New Roman" w:eastAsia="宋体" w:cs="Times New Roman"/>
                      <w:sz w:val="21"/>
                      <w:szCs w:val="21"/>
                      <w:lang w:val="en-US" w:eastAsia="zh-CN"/>
                    </w:rPr>
                    <w:t>、冒、滴、漏</w:t>
                  </w:r>
                  <w:r>
                    <w:rPr>
                      <w:rFonts w:hint="eastAsia" w:ascii="Times New Roman" w:hAnsi="Times New Roman" w:eastAsia="宋体" w:cs="Times New Roman"/>
                      <w:sz w:val="21"/>
                      <w:szCs w:val="21"/>
                      <w:lang w:val="en-US" w:eastAsia="zh-CN"/>
                    </w:rPr>
                    <w:t>现象。厂区4号车间做好防渗地面。</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bidi="ar"/>
                    </w:rPr>
                  </w:pPr>
                  <w:r>
                    <w:rPr>
                      <w:rFonts w:hint="default" w:ascii="Times New Roman" w:hAnsi="Times New Roman" w:eastAsia="宋体" w:cs="Times New Roman"/>
                      <w:sz w:val="21"/>
                      <w:szCs w:val="21"/>
                      <w:lang w:eastAsia="zh-CN" w:bidi="ar"/>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4"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5</w:t>
                  </w:r>
                </w:p>
              </w:tc>
              <w:tc>
                <w:tcPr>
                  <w:tcW w:w="1953"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加强营运期风险防范。严格落实报告表提出的各项环境风险防范措施;按照《突发环境事件应急管理办法》修订完善突发环境事件应急预案，储备风险教助物资并组织演练，杜绝环境风险事故发生。</w:t>
                  </w:r>
                </w:p>
              </w:tc>
              <w:tc>
                <w:tcPr>
                  <w:tcW w:w="1865"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本项目做好突发环境事件应急预案，并已在岳阳市生态环境局云溪分局进行备案</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4" w:type="pct"/>
                  <w:tcBorders>
                    <w:tl2br w:val="nil"/>
                    <w:tr2bl w:val="nil"/>
                  </w:tcBorders>
                  <w:vAlign w:val="center"/>
                </w:tcPr>
                <w:p>
                  <w:pPr>
                    <w:widowControl/>
                    <w:spacing w:line="240" w:lineRule="auto"/>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6</w:t>
                  </w:r>
                </w:p>
              </w:tc>
              <w:tc>
                <w:tcPr>
                  <w:tcW w:w="1953"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加强环境管理.建立健全污染防治设施运行管理台帐，设专门的环保机构及环保人员，确保各项污染防治设施的正常运行，各类污染物稳定达标排放。</w:t>
                  </w:r>
                </w:p>
              </w:tc>
              <w:tc>
                <w:tcPr>
                  <w:tcW w:w="1865" w:type="pct"/>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项目有专门的环保人员，</w:t>
                  </w:r>
                  <w:r>
                    <w:rPr>
                      <w:rFonts w:hint="eastAsia" w:cs="Times New Roman"/>
                      <w:sz w:val="21"/>
                      <w:szCs w:val="21"/>
                      <w:lang w:val="en-US" w:eastAsia="zh-CN"/>
                    </w:rPr>
                    <w:t>对各类生产设备及污防设施进行检修。建立健全了污染防治设施运行管理台账。制定和落实各项风险防范及应急处置措施。经验收监测各类污染物稳定达标排放。</w:t>
                  </w:r>
                </w:p>
              </w:tc>
              <w:tc>
                <w:tcPr>
                  <w:tcW w:w="786" w:type="pc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bidi="ar"/>
                    </w:rPr>
                    <w:t>已落实</w:t>
                  </w:r>
                </w:p>
              </w:tc>
            </w:tr>
          </w:tbl>
          <w:p>
            <w:pPr>
              <w:pStyle w:val="35"/>
              <w:spacing w:before="7" w:line="360" w:lineRule="auto"/>
              <w:ind w:left="107" w:right="164" w:firstLine="480"/>
              <w:jc w:val="left"/>
              <w:rPr>
                <w:rFonts w:hint="default" w:ascii="Times New Roman" w:hAnsi="Times New Roman" w:eastAsia="宋体" w:cs="Times New Roman"/>
                <w:sz w:val="24"/>
                <w:lang w:eastAsia="zh-CN"/>
              </w:rPr>
            </w:pPr>
          </w:p>
        </w:tc>
      </w:tr>
    </w:tbl>
    <w:p>
      <w:pPr>
        <w:rPr>
          <w:rFonts w:hint="default" w:ascii="Times New Roman" w:hAnsi="Times New Roman" w:eastAsia="宋体" w:cs="Times New Roman"/>
          <w:lang w:eastAsia="zh-CN"/>
        </w:rPr>
      </w:pPr>
    </w:p>
    <w:p>
      <w:pPr>
        <w:pStyle w:val="2"/>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五</w:t>
      </w:r>
    </w:p>
    <w:tbl>
      <w:tblPr>
        <w:tblStyle w:val="20"/>
        <w:tblW w:w="9426"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42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847" w:hRule="atLeast"/>
          <w:jc w:val="center"/>
        </w:trPr>
        <w:tc>
          <w:tcPr>
            <w:tcW w:w="9426" w:type="dxa"/>
            <w:tcBorders>
              <w:tl2br w:val="nil"/>
              <w:tr2bl w:val="nil"/>
            </w:tcBorders>
          </w:tcPr>
          <w:p>
            <w:pPr>
              <w:pStyle w:val="35"/>
              <w:keepNext w:val="0"/>
              <w:keepLines w:val="0"/>
              <w:pageBreakBefore w:val="0"/>
              <w:widowControl w:val="0"/>
              <w:kinsoku/>
              <w:wordWrap/>
              <w:overflowPunct/>
              <w:topLinePunct w:val="0"/>
              <w:bidi w:val="0"/>
              <w:adjustRightInd/>
              <w:snapToGrid/>
              <w:spacing w:line="360" w:lineRule="auto"/>
              <w:ind w:left="107"/>
              <w:contextualSpacing/>
              <w:jc w:val="left"/>
              <w:textAlignment w:val="auto"/>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验收监测质量保证及质量控制：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color w:val="auto"/>
                <w:sz w:val="28"/>
                <w:szCs w:val="28"/>
                <w:u w:val="none" w:color="auto"/>
              </w:rPr>
            </w:pPr>
            <w:r>
              <w:rPr>
                <w:rFonts w:hint="default" w:ascii="Times New Roman" w:hAnsi="Times New Roman" w:eastAsia="宋体" w:cs="Times New Roman"/>
                <w:b/>
                <w:color w:val="auto"/>
                <w:sz w:val="28"/>
                <w:szCs w:val="28"/>
                <w:u w:val="none" w:color="auto"/>
                <w:lang w:val="en-US" w:eastAsia="zh-CN"/>
              </w:rPr>
              <w:t>1</w:t>
            </w:r>
            <w:r>
              <w:rPr>
                <w:rFonts w:hint="default" w:ascii="Times New Roman" w:hAnsi="Times New Roman" w:eastAsia="宋体" w:cs="Times New Roman"/>
                <w:b/>
                <w:color w:val="auto"/>
                <w:sz w:val="28"/>
                <w:szCs w:val="28"/>
                <w:u w:val="none" w:color="auto"/>
              </w:rPr>
              <w:t>、监测分析过程中的质量保证和质量控制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宋体" w:cs="Times New Roman"/>
                <w:color w:val="auto"/>
                <w:sz w:val="28"/>
                <w:szCs w:val="28"/>
                <w:u w:val="none" w:color="auto"/>
              </w:rPr>
            </w:pPr>
            <w:r>
              <w:rPr>
                <w:rFonts w:hint="default" w:ascii="Times New Roman" w:hAnsi="Times New Roman" w:eastAsia="宋体" w:cs="Times New Roman"/>
                <w:color w:val="auto"/>
                <w:sz w:val="28"/>
                <w:szCs w:val="28"/>
                <w:u w:val="none" w:color="auto"/>
              </w:rPr>
              <w:t>建设项目监测分析严格按照《建设项目环境保护设施竣工验收监测技术要求（试行）》和相关监测技术规范要求进行。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eastAsia="宋体" w:cs="Times New Roman"/>
                <w:color w:val="auto"/>
                <w:sz w:val="28"/>
                <w:szCs w:val="28"/>
                <w:u w:val="none" w:color="auto"/>
              </w:rPr>
            </w:pPr>
            <w:r>
              <w:rPr>
                <w:rFonts w:hint="default" w:ascii="Times New Roman" w:hAnsi="Times New Roman" w:eastAsia="宋体" w:cs="Times New Roman"/>
                <w:color w:val="auto"/>
                <w:sz w:val="28"/>
                <w:szCs w:val="28"/>
                <w:u w:val="none" w:color="auto"/>
              </w:rPr>
              <w:t>质量保证与质量控制严格执行国家环保局颁发的《环境监测技术规范》和国家有关采样、分析的标准及方法，实施全过程的质量保证。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（1）点位设置：根据项目布局、污染源排放情况，按监测规范要求合理布设监测点位，保证各监测点位的代表性、可比性和科学性。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（2）监测分析方法采用国家和行业标准分析方法，监测人员经过持证上岗考核并持有合格证书，所用监测仪器设备状态正常且均在有效检定周期内。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（3）气体采样仪器使用标准流量计进行流量校准，并按照国家标准、技术规范和质量保证的要求进行全过程质量控制。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（4）噪声监测根据当天的天气情况，在无雨雪、雷电，风速在5m/s以下进行测量，且测量前后使用声校准器校准测量仪器的示值偏差不大于0.5dB。</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（5）在监测期间，样品采集、运输、保存均按照环境保护部发布的《环境监测质量管理技术导则》（HJ 630-2011）的要求进行。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rPr>
            </w:pPr>
            <w:r>
              <w:rPr>
                <w:rFonts w:hint="default" w:ascii="Times New Roman" w:hAnsi="Times New Roman" w:eastAsia="宋体" w:cs="Times New Roman"/>
                <w:sz w:val="28"/>
                <w:szCs w:val="28"/>
              </w:rPr>
              <w:t>（6）实验室分析人员按国家和行业标准分析方法对样品进行分析，正确、真实、齐全、清晰填写实验室分析原始记录，监测数据和实行三级审核制度。</w:t>
            </w:r>
          </w:p>
          <w:p>
            <w:pPr>
              <w:pStyle w:val="11"/>
              <w:keepNext w:val="0"/>
              <w:keepLines w:val="0"/>
              <w:pageBreakBefore w:val="0"/>
              <w:widowControl w:val="0"/>
              <w:kinsoku/>
              <w:wordWrap/>
              <w:overflowPunct/>
              <w:topLinePunct w:val="0"/>
              <w:bidi w:val="0"/>
              <w:adjustRightInd/>
              <w:snapToGrid/>
              <w:spacing w:after="0" w:line="360" w:lineRule="auto"/>
              <w:ind w:left="0" w:leftChars="0" w:firstLine="560" w:firstLineChars="20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sz w:val="28"/>
                <w:szCs w:val="28"/>
              </w:rPr>
              <w:t>（7）项目负责人负责报告编制，审核人员负责校对，确保报告中数据与原始数据一致无误。经报告编写人、审核人、签发人三级审核签字后方可报出。</w:t>
            </w:r>
          </w:p>
        </w:tc>
      </w:tr>
    </w:tbl>
    <w:p>
      <w:pPr>
        <w:widowControl/>
        <w:autoSpaceDE/>
        <w:autoSpaceDN/>
        <w:rPr>
          <w:rFonts w:hint="default" w:ascii="Times New Roman" w:hAnsi="Times New Roman" w:eastAsia="宋体" w:cs="Times New Roman"/>
          <w:b/>
          <w:sz w:val="24"/>
          <w:szCs w:val="24"/>
          <w:lang w:eastAsia="zh-CN"/>
        </w:rPr>
      </w:pPr>
    </w:p>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表</w:t>
      </w:r>
      <w:r>
        <w:rPr>
          <w:rFonts w:hint="default" w:ascii="Times New Roman" w:hAnsi="Times New Roman" w:eastAsia="宋体" w:cs="Times New Roman"/>
          <w:b/>
          <w:sz w:val="28"/>
          <w:szCs w:val="28"/>
          <w:lang w:eastAsia="zh-CN"/>
        </w:rPr>
        <w:t>六</w:t>
      </w:r>
    </w:p>
    <w:tbl>
      <w:tblPr>
        <w:tblStyle w:val="20"/>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7" w:hRule="atLeast"/>
          <w:jc w:val="center"/>
        </w:trPr>
        <w:tc>
          <w:tcPr>
            <w:tcW w:w="9374" w:type="dxa"/>
            <w:tcBorders>
              <w:tl2br w:val="nil"/>
              <w:tr2bl w:val="nil"/>
            </w:tcBorders>
          </w:tcPr>
          <w:p>
            <w:pPr>
              <w:pStyle w:val="35"/>
              <w:spacing w:line="374" w:lineRule="exact"/>
              <w:ind w:left="107"/>
              <w:jc w:val="left"/>
              <w:rPr>
                <w:rFonts w:hint="default" w:ascii="Times New Roman" w:hAnsi="Times New Roman" w:eastAsia="宋体" w:cs="Times New Roman"/>
                <w:sz w:val="28"/>
                <w:szCs w:val="28"/>
                <w:lang w:eastAsia="zh-CN"/>
              </w:rPr>
            </w:pPr>
            <w:r>
              <w:rPr>
                <w:rFonts w:hint="default" w:ascii="Times New Roman" w:hAnsi="Times New Roman" w:eastAsia="宋体" w:cs="Times New Roman"/>
                <w:b/>
                <w:bCs/>
                <w:sz w:val="28"/>
                <w:szCs w:val="28"/>
                <w:lang w:eastAsia="zh-CN"/>
              </w:rPr>
              <w:t>验收监测内容</w:t>
            </w:r>
            <w:r>
              <w:rPr>
                <w:rFonts w:hint="default" w:ascii="Times New Roman" w:hAnsi="Times New Roman" w:eastAsia="宋体" w:cs="Times New Roman"/>
                <w:sz w:val="28"/>
                <w:szCs w:val="28"/>
                <w:lang w:eastAsia="zh-CN"/>
              </w:rPr>
              <w:t>：</w:t>
            </w:r>
          </w:p>
          <w:p>
            <w:pPr>
              <w:pStyle w:val="36"/>
              <w:spacing w:before="156" w:beforeLines="50" w:after="156" w:afterLines="50"/>
              <w:jc w:val="left"/>
              <w:rPr>
                <w:rFonts w:hint="default" w:ascii="Times New Roman" w:hAnsi="Times New Roman" w:eastAsia="宋体" w:cs="Times New Roman"/>
                <w:b w:val="0"/>
                <w:bCs w:val="0"/>
                <w:sz w:val="28"/>
                <w:szCs w:val="28"/>
                <w:lang w:val="en-US" w:eastAsia="zh-CN"/>
              </w:rPr>
            </w:pPr>
            <w:bookmarkStart w:id="0" w:name="_Toc850"/>
            <w:bookmarkStart w:id="1" w:name="_Toc29999"/>
            <w:r>
              <w:rPr>
                <w:rFonts w:hint="default" w:ascii="Times New Roman" w:hAnsi="Times New Roman" w:eastAsia="宋体" w:cs="Times New Roman"/>
                <w:b w:val="0"/>
                <w:bCs w:val="0"/>
                <w:sz w:val="28"/>
                <w:szCs w:val="28"/>
                <w:lang w:eastAsia="zh-CN"/>
              </w:rPr>
              <w:t>本项目验收监测内容见表</w:t>
            </w:r>
            <w:r>
              <w:rPr>
                <w:rFonts w:hint="eastAsia" w:cs="Times New Roman"/>
                <w:b w:val="0"/>
                <w:bCs w:val="0"/>
                <w:sz w:val="28"/>
                <w:szCs w:val="28"/>
                <w:lang w:val="en-US" w:eastAsia="zh-CN"/>
              </w:rPr>
              <w:t>10</w:t>
            </w:r>
            <w:r>
              <w:rPr>
                <w:rFonts w:hint="default" w:ascii="Times New Roman" w:hAnsi="Times New Roman" w:eastAsia="宋体" w:cs="Times New Roman"/>
                <w:b w:val="0"/>
                <w:bCs w:val="0"/>
                <w:sz w:val="28"/>
                <w:szCs w:val="28"/>
                <w:lang w:val="en-US" w:eastAsia="zh-CN"/>
              </w:rPr>
              <w:t>：</w:t>
            </w:r>
          </w:p>
          <w:p>
            <w:pPr>
              <w:pStyle w:val="36"/>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10</w:t>
            </w:r>
            <w:r>
              <w:rPr>
                <w:rFonts w:hint="default" w:ascii="Times New Roman" w:hAnsi="Times New Roman" w:eastAsia="宋体" w:cs="Times New Roman"/>
                <w:b/>
                <w:bCs/>
                <w:sz w:val="24"/>
                <w:szCs w:val="24"/>
                <w:lang w:eastAsia="zh-CN"/>
              </w:rPr>
              <w:t xml:space="preserve">  验收监测工作内容一览表</w:t>
            </w:r>
          </w:p>
          <w:tbl>
            <w:tblPr>
              <w:tblStyle w:val="47"/>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autofit"/>
              <w:tblCellMar>
                <w:top w:w="0" w:type="dxa"/>
                <w:left w:w="108" w:type="dxa"/>
                <w:bottom w:w="0" w:type="dxa"/>
                <w:right w:w="108" w:type="dxa"/>
              </w:tblCellMar>
            </w:tblPr>
            <w:tblGrid>
              <w:gridCol w:w="554"/>
              <w:gridCol w:w="944"/>
              <w:gridCol w:w="2271"/>
              <w:gridCol w:w="1358"/>
              <w:gridCol w:w="2483"/>
              <w:gridCol w:w="16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86" w:hRule="atLeast"/>
                <w:jc w:val="center"/>
              </w:trPr>
              <w:tc>
                <w:tcPr>
                  <w:tcW w:w="298"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2461" w:type="pct"/>
                  <w:gridSpan w:val="3"/>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监测布点</w:t>
                  </w:r>
                </w:p>
              </w:tc>
              <w:tc>
                <w:tcPr>
                  <w:tcW w:w="1336"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监测因子</w:t>
                  </w:r>
                </w:p>
              </w:tc>
              <w:tc>
                <w:tcPr>
                  <w:tcW w:w="903"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86" w:hRule="atLeast"/>
                <w:jc w:val="center"/>
              </w:trPr>
              <w:tc>
                <w:tcPr>
                  <w:tcW w:w="298" w:type="pct"/>
                  <w:vMerge w:val="restar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w:t>
                  </w:r>
                </w:p>
              </w:tc>
              <w:tc>
                <w:tcPr>
                  <w:tcW w:w="1730" w:type="pct"/>
                  <w:gridSpan w:val="2"/>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化粪池进口</w:t>
                  </w:r>
                </w:p>
              </w:tc>
              <w:tc>
                <w:tcPr>
                  <w:tcW w:w="731"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w:t>
                  </w:r>
                  <w:r>
                    <w:rPr>
                      <w:rFonts w:hint="default" w:ascii="Times New Roman" w:hAnsi="Times New Roman" w:eastAsia="宋体" w:cs="Times New Roman"/>
                      <w:sz w:val="21"/>
                      <w:szCs w:val="21"/>
                      <w:vertAlign w:val="subscript"/>
                      <w:lang w:val="en-US" w:eastAsia="zh-CN"/>
                    </w:rPr>
                    <w:t>1</w:t>
                  </w:r>
                </w:p>
              </w:tc>
              <w:tc>
                <w:tcPr>
                  <w:tcW w:w="1336" w:type="pct"/>
                  <w:tcBorders>
                    <w:tl2br w:val="nil"/>
                    <w:tr2bl w:val="nil"/>
                  </w:tcBorders>
                  <w:vAlign w:val="center"/>
                </w:tcPr>
                <w:p>
                  <w:pPr>
                    <w:pStyle w:val="48"/>
                    <w:keepNext w:val="0"/>
                    <w:keepLines w:val="0"/>
                    <w:pageBreakBefore w:val="0"/>
                    <w:widowControl w:val="0"/>
                    <w:suppressLineNumbers w:val="0"/>
                    <w:kinsoku/>
                    <w:wordWrap/>
                    <w:topLinePunct w:val="0"/>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u w:val="none"/>
                      <w:lang w:val="en-US" w:eastAsia="zh-CN"/>
                    </w:rPr>
                    <w:t>pH、COD、氨氮、悬浮物、BOD</w:t>
                  </w:r>
                  <w:r>
                    <w:rPr>
                      <w:rFonts w:hint="default" w:ascii="Times New Roman" w:hAnsi="Times New Roman" w:eastAsia="宋体" w:cs="Times New Roman"/>
                      <w:color w:val="auto"/>
                      <w:sz w:val="21"/>
                      <w:szCs w:val="21"/>
                      <w:u w:val="none"/>
                      <w:vertAlign w:val="subscript"/>
                      <w:lang w:val="en-US" w:eastAsia="zh-CN"/>
                    </w:rPr>
                    <w:t>5</w:t>
                  </w:r>
                </w:p>
              </w:tc>
              <w:tc>
                <w:tcPr>
                  <w:tcW w:w="903"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监测2天，每天4次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52" w:hRule="atLeast"/>
                <w:jc w:val="center"/>
              </w:trPr>
              <w:tc>
                <w:tcPr>
                  <w:tcW w:w="298" w:type="pct"/>
                  <w:vMerge w:val="continue"/>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sz w:val="21"/>
                      <w:szCs w:val="21"/>
                    </w:rPr>
                  </w:pPr>
                </w:p>
              </w:tc>
              <w:tc>
                <w:tcPr>
                  <w:tcW w:w="1730" w:type="pct"/>
                  <w:gridSpan w:val="2"/>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化粪池出口</w:t>
                  </w:r>
                </w:p>
              </w:tc>
              <w:tc>
                <w:tcPr>
                  <w:tcW w:w="731"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w:t>
                  </w:r>
                  <w:r>
                    <w:rPr>
                      <w:rFonts w:hint="default" w:ascii="Times New Roman" w:hAnsi="Times New Roman" w:eastAsia="宋体" w:cs="Times New Roman"/>
                      <w:sz w:val="21"/>
                      <w:szCs w:val="21"/>
                      <w:vertAlign w:val="subscript"/>
                      <w:lang w:val="en-US" w:eastAsia="zh-CN"/>
                    </w:rPr>
                    <w:t>2</w:t>
                  </w:r>
                </w:p>
              </w:tc>
              <w:tc>
                <w:tcPr>
                  <w:tcW w:w="1336" w:type="pct"/>
                  <w:tcBorders>
                    <w:tl2br w:val="nil"/>
                    <w:tr2bl w:val="nil"/>
                  </w:tcBorders>
                  <w:vAlign w:val="center"/>
                </w:tcPr>
                <w:p>
                  <w:pPr>
                    <w:pStyle w:val="48"/>
                    <w:keepNext w:val="0"/>
                    <w:keepLines w:val="0"/>
                    <w:pageBreakBefore w:val="0"/>
                    <w:widowControl w:val="0"/>
                    <w:suppressLineNumbers w:val="0"/>
                    <w:kinsoku/>
                    <w:wordWrap/>
                    <w:topLinePunct w:val="0"/>
                    <w:bidi w:val="0"/>
                    <w:adjustRightInd w:val="0"/>
                    <w:snapToGrid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u w:val="none"/>
                      <w:lang w:val="en-US" w:eastAsia="zh-CN"/>
                    </w:rPr>
                    <w:t>pH、COD、氨氮、悬浮物、BOD</w:t>
                  </w:r>
                  <w:r>
                    <w:rPr>
                      <w:rFonts w:hint="default" w:ascii="Times New Roman" w:hAnsi="Times New Roman" w:eastAsia="宋体" w:cs="Times New Roman"/>
                      <w:color w:val="auto"/>
                      <w:sz w:val="21"/>
                      <w:szCs w:val="21"/>
                      <w:u w:val="none"/>
                      <w:vertAlign w:val="subscript"/>
                      <w:lang w:val="en-US" w:eastAsia="zh-CN"/>
                    </w:rPr>
                    <w:t>5</w:t>
                  </w:r>
                </w:p>
              </w:tc>
              <w:tc>
                <w:tcPr>
                  <w:tcW w:w="903"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监测2天，每天4次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86" w:hRule="atLeast"/>
                <w:jc w:val="center"/>
              </w:trPr>
              <w:tc>
                <w:tcPr>
                  <w:tcW w:w="298"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废气</w:t>
                  </w:r>
                </w:p>
              </w:tc>
              <w:tc>
                <w:tcPr>
                  <w:tcW w:w="508"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无组织</w:t>
                  </w:r>
                  <w:r>
                    <w:rPr>
                      <w:rFonts w:hint="default" w:ascii="Times New Roman" w:hAnsi="Times New Roman" w:eastAsia="宋体" w:cs="Times New Roman"/>
                      <w:sz w:val="21"/>
                      <w:szCs w:val="21"/>
                      <w:lang w:val="en-US" w:eastAsia="zh-CN"/>
                    </w:rPr>
                    <w:t>废气</w:t>
                  </w:r>
                </w:p>
              </w:tc>
              <w:tc>
                <w:tcPr>
                  <w:tcW w:w="1222"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下风向厂界外设置3个点</w:t>
                  </w:r>
                </w:p>
              </w:tc>
              <w:tc>
                <w:tcPr>
                  <w:tcW w:w="731"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vertAlign w:val="subscript"/>
                    </w:rPr>
                    <w:t>1</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vertAlign w:val="subscript"/>
                      <w:lang w:val="en-US" w:eastAsia="zh-CN"/>
                    </w:rPr>
                    <w:t>3</w:t>
                  </w:r>
                </w:p>
              </w:tc>
              <w:tc>
                <w:tcPr>
                  <w:tcW w:w="1336"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903"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监测2天，每天3次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386" w:hRule="atLeast"/>
                <w:jc w:val="center"/>
              </w:trPr>
              <w:tc>
                <w:tcPr>
                  <w:tcW w:w="298"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噪声</w:t>
                  </w:r>
                </w:p>
              </w:tc>
              <w:tc>
                <w:tcPr>
                  <w:tcW w:w="1730" w:type="pct"/>
                  <w:gridSpan w:val="2"/>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四周各设一个厂界噪声监测点，共4个点</w:t>
                  </w:r>
                </w:p>
              </w:tc>
              <w:tc>
                <w:tcPr>
                  <w:tcW w:w="731"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Z</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Z</w:t>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val="en-US" w:eastAsia="zh-CN"/>
                    </w:rPr>
                    <w:t>Z</w:t>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lang w:val="en-US" w:eastAsia="zh-CN"/>
                    </w:rPr>
                    <w:t>Z</w:t>
                  </w:r>
                  <w:r>
                    <w:rPr>
                      <w:rFonts w:hint="default" w:ascii="Times New Roman" w:hAnsi="Times New Roman" w:eastAsia="宋体" w:cs="Times New Roman"/>
                      <w:sz w:val="21"/>
                      <w:szCs w:val="21"/>
                    </w:rPr>
                    <w:t>4</w:t>
                  </w:r>
                </w:p>
              </w:tc>
              <w:tc>
                <w:tcPr>
                  <w:tcW w:w="1336"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等效连续A声级</w:t>
                  </w:r>
                </w:p>
              </w:tc>
              <w:tc>
                <w:tcPr>
                  <w:tcW w:w="903" w:type="pct"/>
                  <w:tcBorders>
                    <w:tl2br w:val="nil"/>
                    <w:tr2bl w:val="nil"/>
                  </w:tcBorders>
                  <w:vAlign w:val="center"/>
                </w:tcPr>
                <w:p>
                  <w:pPr>
                    <w:keepNext w:val="0"/>
                    <w:keepLines w:val="0"/>
                    <w:pageBreakBefore w:val="0"/>
                    <w:widowControl w:val="0"/>
                    <w:suppressLineNumbers w:val="0"/>
                    <w:kinsoku/>
                    <w:wordWrap/>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监测2天，昼夜各1次</w:t>
                  </w:r>
                </w:p>
              </w:tc>
            </w:tr>
          </w:tbl>
          <w:p>
            <w:pPr>
              <w:jc w:val="both"/>
              <w:rPr>
                <w:rFonts w:hint="default"/>
                <w:lang w:eastAsia="zh-CN"/>
              </w:rPr>
            </w:pPr>
          </w:p>
          <w:bookmarkEnd w:id="0"/>
          <w:bookmarkEnd w:id="1"/>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9"/>
              <w:rPr>
                <w:rFonts w:hint="default" w:ascii="Times New Roman" w:hAnsi="Times New Roman" w:eastAsia="宋体" w:cs="Times New Roman"/>
                <w:b w:val="0"/>
                <w:bCs/>
                <w:color w:val="auto"/>
                <w:sz w:val="28"/>
                <w:szCs w:val="28"/>
                <w:u w:val="none" w:color="auto"/>
                <w:lang w:eastAsia="zh-CN"/>
              </w:rPr>
            </w:pPr>
            <w:r>
              <w:rPr>
                <w:rFonts w:hint="default" w:ascii="Times New Roman" w:hAnsi="Times New Roman" w:eastAsia="宋体" w:cs="Times New Roman"/>
                <w:b w:val="0"/>
                <w:bCs/>
                <w:color w:val="auto"/>
                <w:sz w:val="28"/>
                <w:szCs w:val="28"/>
                <w:u w:val="none" w:color="auto"/>
                <w:lang w:eastAsia="zh-CN"/>
              </w:rPr>
              <w:t>本项目验收</w:t>
            </w:r>
            <w:r>
              <w:rPr>
                <w:rFonts w:hint="default" w:ascii="Times New Roman" w:hAnsi="Times New Roman" w:eastAsia="宋体" w:cs="Times New Roman"/>
                <w:b w:val="0"/>
                <w:bCs/>
                <w:color w:val="auto"/>
                <w:sz w:val="28"/>
                <w:szCs w:val="28"/>
                <w:u w:val="none" w:color="auto"/>
              </w:rPr>
              <w:t>监测分析方法</w:t>
            </w:r>
            <w:r>
              <w:rPr>
                <w:rFonts w:hint="default" w:ascii="Times New Roman" w:hAnsi="Times New Roman" w:eastAsia="宋体" w:cs="Times New Roman"/>
                <w:b w:val="0"/>
                <w:bCs/>
                <w:color w:val="auto"/>
                <w:sz w:val="28"/>
                <w:szCs w:val="28"/>
                <w:u w:val="none" w:color="auto"/>
                <w:lang w:eastAsia="zh-CN"/>
              </w:rPr>
              <w:t>：</w:t>
            </w:r>
          </w:p>
          <w:p>
            <w:pPr>
              <w:jc w:val="center"/>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表</w:t>
            </w:r>
            <w:r>
              <w:rPr>
                <w:rFonts w:hint="eastAsia" w:ascii="Times New Roman" w:hAnsi="Times New Roman" w:cs="Times New Roman"/>
                <w:b/>
                <w:color w:val="auto"/>
                <w:sz w:val="24"/>
                <w:szCs w:val="24"/>
                <w:u w:val="none" w:color="auto"/>
                <w:lang w:val="en-US" w:eastAsia="zh-CN"/>
              </w:rPr>
              <w:t>1</w:t>
            </w:r>
            <w:r>
              <w:rPr>
                <w:rFonts w:hint="eastAsia" w:cs="Times New Roman"/>
                <w:b/>
                <w:color w:val="auto"/>
                <w:sz w:val="24"/>
                <w:szCs w:val="24"/>
                <w:u w:val="none" w:color="auto"/>
                <w:lang w:val="en-US" w:eastAsia="zh-CN"/>
              </w:rPr>
              <w:t>1</w:t>
            </w:r>
            <w:r>
              <w:rPr>
                <w:rFonts w:hint="default" w:ascii="Times New Roman" w:hAnsi="Times New Roman" w:eastAsia="宋体"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监测分析方法和主要仪器一览表</w:t>
            </w:r>
          </w:p>
          <w:tbl>
            <w:tblPr>
              <w:tblStyle w:val="19"/>
              <w:tblW w:w="4919" w:type="pct"/>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3"/>
              <w:gridCol w:w="950"/>
              <w:gridCol w:w="3812"/>
              <w:gridCol w:w="2328"/>
              <w:gridCol w:w="1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8"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519"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分析</w:t>
                  </w:r>
                </w:p>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2083"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分析方法及方法来源</w:t>
                  </w:r>
                </w:p>
              </w:tc>
              <w:tc>
                <w:tcPr>
                  <w:tcW w:w="1272"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使用仪器</w:t>
                  </w:r>
                </w:p>
              </w:tc>
              <w:tc>
                <w:tcPr>
                  <w:tcW w:w="696"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最低检</w:t>
                  </w:r>
                </w:p>
                <w:p>
                  <w:pPr>
                    <w:keepNext w:val="0"/>
                    <w:keepLines w:val="0"/>
                    <w:pageBreakBefore w:val="0"/>
                    <w:kinsoku/>
                    <w:wordWrap/>
                    <w:overflowPunct/>
                    <w:topLinePunct w:val="0"/>
                    <w:autoSpaceDE/>
                    <w:autoSpaceDN w:val="0"/>
                    <w:bidi w:val="0"/>
                    <w:adjustRightInd/>
                    <w:snapToGrid/>
                    <w:spacing w:beforeAutospacing="0" w:afterAutospacing="0" w:line="240" w:lineRule="auto"/>
                    <w:jc w:val="center"/>
                    <w:textAlignment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8" w:type="pct"/>
                  <w:vMerge w:val="restar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废水</w:t>
                  </w:r>
                </w:p>
              </w:tc>
              <w:tc>
                <w:tcPr>
                  <w:tcW w:w="519" w:type="pct"/>
                  <w:tcBorders>
                    <w:tl2br w:val="nil"/>
                    <w:tr2bl w:val="nil"/>
                  </w:tcBorders>
                  <w:noWrap w:val="0"/>
                  <w:vAlign w:val="center"/>
                </w:tcPr>
                <w:p>
                  <w:pPr>
                    <w:numPr>
                      <w:ilvl w:val="0"/>
                      <w:numId w:val="0"/>
                    </w:numPr>
                    <w:spacing w:beforeLines="0" w:afterLines="0"/>
                    <w:ind w:left="0" w:leftChars="0" w:firstLine="0" w:firstLineChars="0"/>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eastAsia="Times New Roman" w:cs="Times New Roman"/>
                      <w:color w:val="auto"/>
                      <w:sz w:val="21"/>
                      <w:szCs w:val="21"/>
                    </w:rPr>
                    <w:t>pH</w:t>
                  </w:r>
                </w:p>
              </w:tc>
              <w:tc>
                <w:tcPr>
                  <w:tcW w:w="2083" w:type="pct"/>
                  <w:tcBorders>
                    <w:tl2br w:val="nil"/>
                    <w:tr2bl w:val="nil"/>
                  </w:tcBorders>
                  <w:noWrap w:val="0"/>
                  <w:vAlign w:val="center"/>
                </w:tcPr>
                <w:p>
                  <w:pPr>
                    <w:widowControl/>
                    <w:spacing w:beforeLines="0" w:afterLines="0"/>
                    <w:jc w:val="center"/>
                    <w:textAlignment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kern w:val="0"/>
                      <w:sz w:val="21"/>
                      <w:szCs w:val="21"/>
                      <w:lang w:bidi="ar"/>
                    </w:rPr>
                    <w:t>《水和废水监测分析方法》(第四版增补版）国家环境保护总局 2002年 便携式pH计法（B） 3.1.6（2）</w:t>
                  </w:r>
                </w:p>
              </w:tc>
              <w:tc>
                <w:tcPr>
                  <w:tcW w:w="1272" w:type="pct"/>
                  <w:tcBorders>
                    <w:tl2br w:val="nil"/>
                    <w:tr2bl w:val="nil"/>
                  </w:tcBorders>
                  <w:noWrap w:val="0"/>
                  <w:vAlign w:val="center"/>
                </w:tcPr>
                <w:p>
                  <w:pPr>
                    <w:widowControl/>
                    <w:spacing w:beforeLines="0" w:afterLines="0"/>
                    <w:jc w:val="center"/>
                    <w:textAlignment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sz w:val="21"/>
                      <w:szCs w:val="21"/>
                    </w:rPr>
                    <w:t>多参数分析仪</w:t>
                  </w:r>
                </w:p>
              </w:tc>
              <w:tc>
                <w:tcPr>
                  <w:tcW w:w="696" w:type="pct"/>
                  <w:tcBorders>
                    <w:tl2br w:val="nil"/>
                    <w:tr2bl w:val="nil"/>
                  </w:tcBorders>
                  <w:noWrap w:val="0"/>
                  <w:vAlign w:val="center"/>
                </w:tcPr>
                <w:p>
                  <w:pPr>
                    <w:widowControl/>
                    <w:spacing w:beforeLines="0" w:afterLines="0"/>
                    <w:jc w:val="center"/>
                    <w:textAlignment w:val="center"/>
                    <w:rPr>
                      <w:rFonts w:hint="default" w:ascii="Times New Roman" w:hAnsi="Times New Roman" w:eastAsia="Times New Roman" w:cs="Times New Roman"/>
                      <w:kern w:val="0"/>
                      <w:sz w:val="21"/>
                      <w:szCs w:val="21"/>
                      <w:lang w:val="en-US" w:eastAsia="zh-CN" w:bidi="ar-SA"/>
                    </w:rPr>
                  </w:pPr>
                  <w:r>
                    <w:rPr>
                      <w:rFonts w:hint="eastAsia" w:ascii="Times New Roman" w:hAnsi="Times New Roman" w:eastAsia="Times New Roman" w:cs="Times New Roman"/>
                      <w:color w:val="auto"/>
                      <w:kern w:val="0"/>
                      <w:sz w:val="21"/>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8"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spacing w:beforeLines="0" w:afterLines="0"/>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sz w:val="21"/>
                      <w:szCs w:val="21"/>
                    </w:rPr>
                    <w:t>化学需氧量</w:t>
                  </w:r>
                </w:p>
              </w:tc>
              <w:tc>
                <w:tcPr>
                  <w:tcW w:w="2083" w:type="pct"/>
                  <w:tcBorders>
                    <w:tl2br w:val="nil"/>
                    <w:tr2bl w:val="nil"/>
                  </w:tcBorders>
                  <w:noWrap w:val="0"/>
                  <w:vAlign w:val="center"/>
                </w:tcPr>
                <w:p>
                  <w:pPr>
                    <w:spacing w:beforeLines="0" w:afterLines="0" w:line="240" w:lineRule="atLeast"/>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sz w:val="21"/>
                      <w:szCs w:val="21"/>
                    </w:rPr>
                    <w:t>《水质　化学需氧量的测定　重铬酸钾法》</w:t>
                  </w:r>
                  <w:r>
                    <w:rPr>
                      <w:rFonts w:hint="eastAsia" w:ascii="Times New Roman" w:hAnsi="Times New Roman" w:eastAsia="Times New Roman" w:cs="Times New Roman"/>
                      <w:color w:val="auto"/>
                      <w:sz w:val="21"/>
                      <w:szCs w:val="21"/>
                    </w:rPr>
                    <w:fldChar w:fldCharType="begin"/>
                  </w:r>
                  <w:r>
                    <w:rPr>
                      <w:rFonts w:hint="eastAsia" w:ascii="Times New Roman" w:hAnsi="Times New Roman" w:eastAsia="Times New Roman" w:cs="Times New Roman"/>
                      <w:color w:val="auto"/>
                      <w:sz w:val="21"/>
                      <w:szCs w:val="21"/>
                    </w:rPr>
                    <w:instrText xml:space="preserve"> HYPERLINK "http://www.baidu.com/link?url=JlUgrcCjxXuT0Ge_b3YkGiU8BjGu2YPkV2c7AyWmG7SFLIX48vc-6wq4u_jBhSWHn2n39VV_a8pnGyKr8FSFXK" \t "https://www.baidu.com/_blank" </w:instrText>
                  </w:r>
                  <w:r>
                    <w:rPr>
                      <w:rFonts w:hint="eastAsia" w:ascii="Times New Roman" w:hAnsi="Times New Roman" w:eastAsia="Times New Roman" w:cs="Times New Roman"/>
                      <w:color w:val="auto"/>
                      <w:sz w:val="21"/>
                      <w:szCs w:val="21"/>
                    </w:rPr>
                    <w:fldChar w:fldCharType="separate"/>
                  </w:r>
                  <w:r>
                    <w:rPr>
                      <w:rFonts w:hint="eastAsia" w:ascii="Times New Roman" w:hAnsi="Times New Roman" w:eastAsia="Times New Roman" w:cs="Times New Roman"/>
                      <w:color w:val="auto"/>
                      <w:sz w:val="21"/>
                      <w:szCs w:val="21"/>
                    </w:rPr>
                    <w:t>HJ 828-2017</w:t>
                  </w:r>
                  <w:r>
                    <w:rPr>
                      <w:rFonts w:hint="eastAsia" w:ascii="Times New Roman" w:hAnsi="Times New Roman" w:eastAsia="Times New Roman" w:cs="Times New Roman"/>
                      <w:color w:val="auto"/>
                      <w:sz w:val="21"/>
                      <w:szCs w:val="21"/>
                    </w:rPr>
                    <w:fldChar w:fldCharType="end"/>
                  </w:r>
                </w:p>
              </w:tc>
              <w:tc>
                <w:tcPr>
                  <w:tcW w:w="1272" w:type="pct"/>
                  <w:tcBorders>
                    <w:tl2br w:val="nil"/>
                    <w:tr2bl w:val="nil"/>
                  </w:tcBorders>
                  <w:noWrap w:val="0"/>
                  <w:vAlign w:val="center"/>
                </w:tcPr>
                <w:p>
                  <w:pPr>
                    <w:spacing w:beforeLines="0" w:afterLines="0"/>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sz w:val="21"/>
                      <w:szCs w:val="21"/>
                    </w:rPr>
                    <w:t>滴定管</w:t>
                  </w:r>
                </w:p>
              </w:tc>
              <w:tc>
                <w:tcPr>
                  <w:tcW w:w="696"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0"/>
                      <w:sz w:val="21"/>
                      <w:szCs w:val="21"/>
                      <w:lang w:val="en-US" w:eastAsia="zh-CN" w:bidi="ar-SA"/>
                    </w:rPr>
                  </w:pPr>
                  <w:r>
                    <w:rPr>
                      <w:rFonts w:hint="eastAsia" w:ascii="Times New Roman" w:hAnsi="Times New Roman" w:eastAsia="Times New Roman" w:cs="Times New Roman"/>
                      <w:color w:val="auto"/>
                      <w:sz w:val="21"/>
                      <w:szCs w:val="21"/>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8"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spacing w:beforeLines="0" w:afterLines="0"/>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kern w:val="0"/>
                      <w:sz w:val="21"/>
                      <w:szCs w:val="21"/>
                    </w:rPr>
                    <w:t>氨氮</w:t>
                  </w:r>
                </w:p>
              </w:tc>
              <w:tc>
                <w:tcPr>
                  <w:tcW w:w="2083" w:type="pct"/>
                  <w:tcBorders>
                    <w:tl2br w:val="nil"/>
                    <w:tr2bl w:val="nil"/>
                  </w:tcBorders>
                  <w:noWrap w:val="0"/>
                  <w:vAlign w:val="center"/>
                </w:tcPr>
                <w:p>
                  <w:pPr>
                    <w:spacing w:beforeLines="0" w:afterLines="0"/>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sz w:val="21"/>
                      <w:szCs w:val="21"/>
                    </w:rPr>
                    <w:t xml:space="preserve">《水质 氨氮的测定》纳氏试剂光度法HJ535-2009 </w:t>
                  </w:r>
                </w:p>
              </w:tc>
              <w:tc>
                <w:tcPr>
                  <w:tcW w:w="1272" w:type="pct"/>
                  <w:tcBorders>
                    <w:tl2br w:val="nil"/>
                    <w:tr2bl w:val="nil"/>
                  </w:tcBorders>
                  <w:noWrap w:val="0"/>
                  <w:vAlign w:val="center"/>
                </w:tcPr>
                <w:p>
                  <w:pPr>
                    <w:spacing w:beforeLines="0" w:afterLines="0"/>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sz w:val="21"/>
                      <w:szCs w:val="21"/>
                    </w:rPr>
                    <w:t>紫外可见分光光度计</w:t>
                  </w:r>
                  <w:r>
                    <w:rPr>
                      <w:rFonts w:hint="eastAsia" w:ascii="Times New Roman" w:hAnsi="Times New Roman" w:eastAsia="Times New Roman" w:cs="Times New Roman"/>
                      <w:color w:val="auto"/>
                      <w:sz w:val="21"/>
                      <w:szCs w:val="21"/>
                    </w:rPr>
                    <w:t>/TU-1901</w:t>
                  </w:r>
                </w:p>
              </w:tc>
              <w:tc>
                <w:tcPr>
                  <w:tcW w:w="696"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0"/>
                      <w:sz w:val="21"/>
                      <w:szCs w:val="21"/>
                      <w:lang w:val="en-US" w:eastAsia="zh-CN" w:bidi="ar-SA"/>
                    </w:rPr>
                  </w:pPr>
                  <w:r>
                    <w:rPr>
                      <w:rFonts w:hint="eastAsia" w:ascii="Times New Roman" w:hAnsi="Times New Roman" w:eastAsia="Times New Roman" w:cs="Times New Roman"/>
                      <w:color w:val="auto"/>
                      <w:sz w:val="21"/>
                      <w:szCs w:val="21"/>
                    </w:rPr>
                    <w:t>0.025mg/L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8"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0"/>
                      <w:sz w:val="21"/>
                      <w:szCs w:val="21"/>
                      <w:lang w:val="en-US" w:eastAsia="zh-CN" w:bidi="ar-SA"/>
                    </w:rPr>
                  </w:pPr>
                  <w:r>
                    <w:rPr>
                      <w:rFonts w:hint="eastAsia" w:ascii="Times New Roman" w:hAnsi="Times New Roman" w:eastAsia="Times New Roman" w:cs="Times New Roman"/>
                      <w:color w:val="auto"/>
                      <w:kern w:val="0"/>
                      <w:sz w:val="21"/>
                      <w:szCs w:val="21"/>
                    </w:rPr>
                    <w:t>BOD</w:t>
                  </w:r>
                  <w:r>
                    <w:rPr>
                      <w:rFonts w:hint="eastAsia" w:ascii="Times New Roman" w:hAnsi="Times New Roman" w:eastAsia="Times New Roman" w:cs="Times New Roman"/>
                      <w:color w:val="auto"/>
                      <w:kern w:val="0"/>
                      <w:sz w:val="21"/>
                      <w:szCs w:val="21"/>
                      <w:vertAlign w:val="subscript"/>
                    </w:rPr>
                    <w:t>5</w:t>
                  </w:r>
                </w:p>
              </w:tc>
              <w:tc>
                <w:tcPr>
                  <w:tcW w:w="2083"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0"/>
                      <w:sz w:val="21"/>
                      <w:szCs w:val="21"/>
                      <w:lang w:val="en-US" w:eastAsia="zh-CN" w:bidi="ar-SA"/>
                    </w:rPr>
                  </w:pPr>
                  <w:r>
                    <w:rPr>
                      <w:rFonts w:hint="eastAsia" w:ascii="Times New Roman" w:hAnsi="Times New Roman" w:cs="Times New Roman"/>
                      <w:color w:val="auto"/>
                      <w:sz w:val="21"/>
                      <w:szCs w:val="21"/>
                    </w:rPr>
                    <w:t>《水质 五日生化需氧量的测定 稀释与接种法》HJ505-2009</w:t>
                  </w:r>
                </w:p>
              </w:tc>
              <w:tc>
                <w:tcPr>
                  <w:tcW w:w="1272"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0"/>
                      <w:sz w:val="21"/>
                      <w:szCs w:val="21"/>
                      <w:lang w:val="en-US" w:eastAsia="zh-CN" w:bidi="ar-SA"/>
                    </w:rPr>
                  </w:pPr>
                  <w:r>
                    <w:rPr>
                      <w:rFonts w:hint="eastAsia" w:ascii="Times New Roman" w:hAnsi="Times New Roman" w:cs="Times New Roman"/>
                      <w:color w:val="auto"/>
                      <w:sz w:val="21"/>
                      <w:szCs w:val="21"/>
                    </w:rPr>
                    <w:t>生化培养箱/</w:t>
                  </w:r>
                  <w:r>
                    <w:rPr>
                      <w:rFonts w:hint="eastAsia" w:ascii="Times New Roman" w:hAnsi="Times New Roman" w:eastAsia="Times New Roman" w:cs="Times New Roman"/>
                      <w:color w:val="auto"/>
                      <w:sz w:val="21"/>
                      <w:szCs w:val="21"/>
                    </w:rPr>
                    <w:t>SPX-150</w:t>
                  </w:r>
                </w:p>
              </w:tc>
              <w:tc>
                <w:tcPr>
                  <w:tcW w:w="696" w:type="pct"/>
                  <w:tcBorders>
                    <w:tl2br w:val="nil"/>
                    <w:tr2bl w:val="nil"/>
                  </w:tcBorders>
                  <w:noWrap w:val="0"/>
                  <w:vAlign w:val="center"/>
                </w:tcPr>
                <w:p>
                  <w:pPr>
                    <w:spacing w:beforeLines="0" w:afterLines="0"/>
                    <w:jc w:val="center"/>
                    <w:rPr>
                      <w:rFonts w:hint="default" w:ascii="Times New Roman" w:hAnsi="Times New Roman" w:eastAsia="Times New Roman" w:cs="Times New Roman"/>
                      <w:color w:val="000000"/>
                      <w:kern w:val="0"/>
                      <w:sz w:val="21"/>
                      <w:szCs w:val="21"/>
                      <w:lang w:val="en-US" w:eastAsia="zh-CN" w:bidi="ar"/>
                    </w:rPr>
                  </w:pPr>
                  <w:r>
                    <w:rPr>
                      <w:rFonts w:hint="eastAsia" w:ascii="Times New Roman" w:hAnsi="Times New Roman" w:eastAsia="Times New Roman" w:cs="Times New Roman"/>
                      <w:color w:val="auto"/>
                      <w:sz w:val="21"/>
                      <w:szCs w:val="21"/>
                    </w:rPr>
                    <w:t>0.5mg/L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8" w:type="pct"/>
                  <w:vMerge w:val="continue"/>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p>
              </w:tc>
              <w:tc>
                <w:tcPr>
                  <w:tcW w:w="519" w:type="pct"/>
                  <w:tcBorders>
                    <w:tl2br w:val="nil"/>
                    <w:tr2bl w:val="nil"/>
                  </w:tcBorders>
                  <w:noWrap w:val="0"/>
                  <w:vAlign w:val="center"/>
                </w:tcPr>
                <w:p>
                  <w:pPr>
                    <w:spacing w:beforeLines="0" w:afterLines="0"/>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sz w:val="21"/>
                      <w:szCs w:val="21"/>
                    </w:rPr>
                    <w:t>悬浮物</w:t>
                  </w:r>
                </w:p>
              </w:tc>
              <w:tc>
                <w:tcPr>
                  <w:tcW w:w="2083" w:type="pct"/>
                  <w:tcBorders>
                    <w:tl2br w:val="nil"/>
                    <w:tr2bl w:val="nil"/>
                  </w:tcBorders>
                  <w:noWrap w:val="0"/>
                  <w:vAlign w:val="center"/>
                </w:tcPr>
                <w:p>
                  <w:pPr>
                    <w:spacing w:beforeLines="0" w:afterLines="0"/>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sz w:val="21"/>
                      <w:szCs w:val="21"/>
                    </w:rPr>
                    <w:t>《水质　悬浮物的测定　重量法》GB/T11901-1989</w:t>
                  </w:r>
                </w:p>
              </w:tc>
              <w:tc>
                <w:tcPr>
                  <w:tcW w:w="1272" w:type="pct"/>
                  <w:tcBorders>
                    <w:tl2br w:val="nil"/>
                    <w:tr2bl w:val="nil"/>
                  </w:tcBorders>
                  <w:noWrap w:val="0"/>
                  <w:vAlign w:val="center"/>
                </w:tcPr>
                <w:p>
                  <w:pPr>
                    <w:spacing w:beforeLines="0" w:afterLines="0"/>
                    <w:jc w:val="center"/>
                    <w:rPr>
                      <w:rFonts w:hint="default" w:ascii="Times New Roman" w:hAnsi="Times New Roman" w:eastAsia="Times New Roman" w:cs="Times New Roman"/>
                      <w:color w:val="000000"/>
                      <w:spacing w:val="-2"/>
                      <w:kern w:val="0"/>
                      <w:sz w:val="21"/>
                      <w:szCs w:val="21"/>
                      <w:lang w:val="en-US" w:eastAsia="zh-CN" w:bidi="ar-SA"/>
                    </w:rPr>
                  </w:pPr>
                  <w:r>
                    <w:rPr>
                      <w:rFonts w:hint="eastAsia" w:ascii="Times New Roman" w:hAnsi="Times New Roman" w:cs="Times New Roman"/>
                      <w:color w:val="auto"/>
                      <w:sz w:val="21"/>
                      <w:szCs w:val="21"/>
                    </w:rPr>
                    <w:t>分析天平</w:t>
                  </w:r>
                  <w:r>
                    <w:rPr>
                      <w:rFonts w:hint="eastAsia" w:ascii="Times New Roman" w:hAnsi="Times New Roman" w:eastAsia="Times New Roman" w:cs="Times New Roman"/>
                      <w:color w:val="auto"/>
                      <w:sz w:val="21"/>
                      <w:szCs w:val="21"/>
                    </w:rPr>
                    <w:t>/LE204E</w:t>
                  </w:r>
                </w:p>
              </w:tc>
              <w:tc>
                <w:tcPr>
                  <w:tcW w:w="696" w:type="pct"/>
                  <w:tcBorders>
                    <w:tl2br w:val="nil"/>
                    <w:tr2bl w:val="nil"/>
                  </w:tcBorders>
                  <w:noWrap w:val="0"/>
                  <w:vAlign w:val="center"/>
                </w:tcPr>
                <w:p>
                  <w:pPr>
                    <w:spacing w:beforeLines="0" w:afterLines="0"/>
                    <w:jc w:val="center"/>
                    <w:rPr>
                      <w:rFonts w:hint="default" w:ascii="Times New Roman" w:hAnsi="Times New Roman" w:eastAsia="Times New Roman" w:cs="Times New Roman"/>
                      <w:kern w:val="0"/>
                      <w:sz w:val="21"/>
                      <w:szCs w:val="21"/>
                      <w:lang w:val="en-US" w:eastAsia="zh-CN" w:bidi="ar-SA"/>
                    </w:rPr>
                  </w:pPr>
                  <w:r>
                    <w:rPr>
                      <w:rFonts w:hint="eastAsia" w:ascii="Times New Roman" w:hAnsi="Times New Roman" w:eastAsia="Times New Roman" w:cs="Times New Roman"/>
                      <w:color w:val="auto"/>
                      <w:sz w:val="21"/>
                      <w:szCs w:val="21"/>
                    </w:rPr>
                    <w:t>4mg/L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8"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无组织废气</w:t>
                  </w:r>
                </w:p>
              </w:tc>
              <w:tc>
                <w:tcPr>
                  <w:tcW w:w="519" w:type="pct"/>
                  <w:tcBorders>
                    <w:tl2br w:val="nil"/>
                    <w:tr2bl w:val="nil"/>
                  </w:tcBorders>
                  <w:noWrap w:val="0"/>
                  <w:vAlign w:val="center"/>
                </w:tcPr>
                <w:p>
                  <w:pPr>
                    <w:jc w:val="center"/>
                    <w:rPr>
                      <w:rFonts w:hint="default" w:ascii="Times New Roman" w:hAnsi="Times New Roman" w:eastAsia="宋体" w:cs="Times New Roman"/>
                      <w:color w:val="000000"/>
                      <w:spacing w:val="-2"/>
                      <w:kern w:val="2"/>
                      <w:sz w:val="21"/>
                      <w:szCs w:val="21"/>
                      <w:lang w:val="en-US" w:eastAsia="zh-CN" w:bidi="ar-SA"/>
                    </w:rPr>
                  </w:pPr>
                  <w:r>
                    <w:rPr>
                      <w:rFonts w:hint="eastAsia" w:ascii="Times New Roman" w:hAnsi="Times New Roman" w:eastAsia="宋体" w:cs="Times New Roman"/>
                      <w:kern w:val="0"/>
                      <w:sz w:val="21"/>
                      <w:szCs w:val="21"/>
                      <w:highlight w:val="none"/>
                      <w:lang w:val="en-US" w:eastAsia="zh-CN"/>
                    </w:rPr>
                    <w:t>颗粒物</w:t>
                  </w:r>
                </w:p>
              </w:tc>
              <w:tc>
                <w:tcPr>
                  <w:tcW w:w="2083"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pacing w:val="-2"/>
                      <w:kern w:val="2"/>
                      <w:sz w:val="21"/>
                      <w:szCs w:val="21"/>
                      <w:lang w:val="en-US" w:eastAsia="zh-CN" w:bidi="ar-SA"/>
                    </w:rPr>
                  </w:pPr>
                  <w:r>
                    <w:rPr>
                      <w:rFonts w:hint="default" w:ascii="Times New Roman" w:hAnsi="Times New Roman" w:eastAsia="宋体" w:cs="Times New Roman"/>
                      <w:color w:val="000000"/>
                      <w:spacing w:val="-2"/>
                      <w:kern w:val="2"/>
                      <w:sz w:val="21"/>
                      <w:szCs w:val="21"/>
                      <w:lang w:val="en-US" w:eastAsia="zh-CN" w:bidi="ar-SA"/>
                    </w:rPr>
                    <w:t>《环境空气 总悬浮颗粒物的测定 重量法》GBT 15432-1995</w:t>
                  </w:r>
                </w:p>
              </w:tc>
              <w:tc>
                <w:tcPr>
                  <w:tcW w:w="1272"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pacing w:val="-2"/>
                      <w:kern w:val="2"/>
                      <w:sz w:val="21"/>
                      <w:szCs w:val="21"/>
                      <w:lang w:val="en-US" w:eastAsia="zh-CN" w:bidi="ar-SA"/>
                    </w:rPr>
                  </w:pPr>
                  <w:r>
                    <w:rPr>
                      <w:rFonts w:hint="default" w:ascii="Times New Roman" w:hAnsi="Times New Roman" w:eastAsia="宋体" w:cs="Times New Roman"/>
                      <w:color w:val="auto"/>
                      <w:sz w:val="21"/>
                      <w:szCs w:val="21"/>
                    </w:rPr>
                    <w:t>分析天平</w:t>
                  </w:r>
                  <w:r>
                    <w:rPr>
                      <w:rFonts w:hint="eastAsia" w:ascii="Times New Roman" w:hAnsi="Times New Roman" w:eastAsia="宋体" w:cs="Times New Roman"/>
                      <w:color w:val="auto"/>
                      <w:sz w:val="21"/>
                      <w:szCs w:val="21"/>
                      <w:lang w:val="en-US" w:eastAsia="zh-CN"/>
                    </w:rPr>
                    <w:t>AUW-120D</w:t>
                  </w:r>
                </w:p>
              </w:tc>
              <w:tc>
                <w:tcPr>
                  <w:tcW w:w="696" w:type="pc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0.001</w:t>
                  </w:r>
                  <w:r>
                    <w:rPr>
                      <w:rFonts w:hint="default" w:ascii="Times New Roman" w:hAnsi="Times New Roman" w:eastAsia="宋体" w:cs="Times New Roman"/>
                      <w:kern w:val="0"/>
                      <w:sz w:val="21"/>
                      <w:szCs w:val="21"/>
                      <w:highlight w:val="none"/>
                    </w:rPr>
                    <w:t>mg/m</w:t>
                  </w:r>
                  <w:r>
                    <w:rPr>
                      <w:rFonts w:hint="default" w:ascii="Times New Roman" w:hAnsi="Times New Roman" w:eastAsia="宋体" w:cs="Times New Roman"/>
                      <w:kern w:val="0"/>
                      <w:sz w:val="21"/>
                      <w:szCs w:val="21"/>
                      <w:highlight w:val="none"/>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28" w:type="pct"/>
                  <w:tcBorders>
                    <w:tl2br w:val="nil"/>
                    <w:tr2bl w:val="nil"/>
                  </w:tcBorders>
                  <w:noWrap w:val="0"/>
                  <w:vAlign w:val="center"/>
                </w:tcPr>
                <w:p>
                  <w:pPr>
                    <w:keepNext w:val="0"/>
                    <w:keepLines w:val="0"/>
                    <w:pageBreakBefore w:val="0"/>
                    <w:kinsoku/>
                    <w:wordWrap/>
                    <w:overflowPunct/>
                    <w:topLinePunct w:val="0"/>
                    <w:autoSpaceDE/>
                    <w:autoSpaceDN w:val="0"/>
                    <w:bidi w:val="0"/>
                    <w:adjustRightInd/>
                    <w:snapToGrid/>
                    <w:spacing w:beforeAutospacing="0" w:afterAutospacing="0" w:line="240" w:lineRule="auto"/>
                    <w:ind w:left="-120" w:leftChars="-50" w:right="-120" w:rightChars="-50"/>
                    <w:jc w:val="center"/>
                    <w:textAlignment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噪声</w:t>
                  </w:r>
                </w:p>
              </w:tc>
              <w:tc>
                <w:tcPr>
                  <w:tcW w:w="519"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厂界噪声</w:t>
                  </w:r>
                </w:p>
              </w:tc>
              <w:tc>
                <w:tcPr>
                  <w:tcW w:w="2083"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《工业企业厂界噪声排放标准》</w:t>
                  </w:r>
                </w:p>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 xml:space="preserve"> GB 12348-2008</w:t>
                  </w:r>
                </w:p>
              </w:tc>
              <w:tc>
                <w:tcPr>
                  <w:tcW w:w="1272"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AWA6228</w:t>
                  </w:r>
                </w:p>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多功能声级计</w:t>
                  </w:r>
                </w:p>
                <w:p>
                  <w:pPr>
                    <w:keepNext w:val="0"/>
                    <w:keepLines w:val="0"/>
                    <w:pageBreakBefore w:val="0"/>
                    <w:kinsoku/>
                    <w:wordWrap/>
                    <w:overflowPunct/>
                    <w:topLinePunct w:val="0"/>
                    <w:autoSpaceDE/>
                    <w:bidi w:val="0"/>
                    <w:adjustRightInd/>
                    <w:snapToGrid/>
                    <w:spacing w:beforeAutospacing="0" w:afterAutospacing="0" w:line="240" w:lineRule="auto"/>
                    <w:jc w:val="center"/>
                    <w:outlineLvl w:val="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AWA6021A</w:t>
                  </w:r>
                </w:p>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color w:val="000000"/>
                      <w:sz w:val="21"/>
                      <w:szCs w:val="21"/>
                    </w:rPr>
                    <w:t>声级校准器</w:t>
                  </w:r>
                </w:p>
              </w:tc>
              <w:tc>
                <w:tcPr>
                  <w:tcW w:w="696" w:type="pct"/>
                  <w:tcBorders>
                    <w:tl2br w:val="nil"/>
                    <w:tr2bl w:val="nil"/>
                  </w:tcBorders>
                  <w:noWrap w:val="0"/>
                  <w:vAlign w:val="center"/>
                </w:tcPr>
                <w:p>
                  <w:pPr>
                    <w:keepNext w:val="0"/>
                    <w:keepLines w:val="0"/>
                    <w:pageBreakBefore w:val="0"/>
                    <w:kinsoku/>
                    <w:wordWrap/>
                    <w:overflowPunct/>
                    <w:topLinePunct w:val="0"/>
                    <w:autoSpaceDE/>
                    <w:bidi w:val="0"/>
                    <w:adjustRightInd/>
                    <w:snapToGrid/>
                    <w:spacing w:beforeAutospacing="0" w:afterAutospacing="0" w:line="240" w:lineRule="auto"/>
                    <w:jc w:val="center"/>
                    <w:textAlignment w:val="center"/>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color w:val="000000"/>
                      <w:sz w:val="21"/>
                      <w:szCs w:val="21"/>
                    </w:rPr>
                    <w:t>/</w:t>
                  </w:r>
                </w:p>
              </w:tc>
            </w:tr>
          </w:tbl>
          <w:p>
            <w:pPr>
              <w:pStyle w:val="35"/>
              <w:spacing w:line="374" w:lineRule="exact"/>
              <w:jc w:val="both"/>
              <w:rPr>
                <w:rFonts w:hint="default" w:ascii="Times New Roman" w:hAnsi="Times New Roman" w:eastAsia="宋体" w:cs="Times New Roman"/>
                <w:sz w:val="21"/>
                <w:szCs w:val="20"/>
                <w:lang w:eastAsia="zh-CN"/>
              </w:rPr>
            </w:pPr>
          </w:p>
        </w:tc>
      </w:tr>
    </w:tbl>
    <w:p>
      <w:pPr>
        <w:pStyle w:val="2"/>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spacing w:line="386" w:lineRule="exact"/>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表七</w:t>
      </w:r>
    </w:p>
    <w:tbl>
      <w:tblPr>
        <w:tblStyle w:val="20"/>
        <w:tblW w:w="91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47" w:type="dxa"/>
            <w:tcBorders>
              <w:tl2br w:val="nil"/>
              <w:tr2bl w:val="nil"/>
            </w:tcBorders>
          </w:tcPr>
          <w:p>
            <w:pPr>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验收监测期间生产工况记录：</w:t>
            </w:r>
          </w:p>
          <w:p>
            <w:pPr>
              <w:spacing w:line="360" w:lineRule="auto"/>
              <w:ind w:firstLine="560" w:firstLineChars="200"/>
              <w:contextualSpacing/>
              <w:jc w:val="both"/>
              <w:rPr>
                <w:rFonts w:hint="default" w:ascii="Times New Roman" w:hAnsi="Times New Roman" w:eastAsia="宋体" w:cs="Times New Roman"/>
                <w:sz w:val="28"/>
                <w:szCs w:val="28"/>
                <w:lang w:val="en-US" w:eastAsia="zh-CN"/>
              </w:rPr>
            </w:pPr>
            <w:r>
              <w:rPr>
                <w:rFonts w:hint="eastAsia" w:cs="Times New Roman"/>
                <w:sz w:val="28"/>
                <w:szCs w:val="28"/>
                <w:lang w:eastAsia="zh-CN"/>
              </w:rPr>
              <w:t>岳阳市康源邦尔生物技术有限责任公司年产5000吨中量元素肥料生产线技改项目</w:t>
            </w:r>
            <w:r>
              <w:rPr>
                <w:rFonts w:hint="default" w:ascii="Times New Roman" w:hAnsi="Times New Roman" w:eastAsia="宋体" w:cs="Times New Roman"/>
                <w:sz w:val="28"/>
                <w:szCs w:val="28"/>
                <w:lang w:eastAsia="zh-CN"/>
              </w:rPr>
              <w:t>验收监测时间为</w:t>
            </w:r>
            <w:r>
              <w:rPr>
                <w:rFonts w:hint="default" w:ascii="Times New Roman" w:hAnsi="Times New Roman" w:eastAsia="宋体" w:cs="Times New Roman"/>
                <w:sz w:val="28"/>
                <w:szCs w:val="28"/>
                <w:lang w:val="en-US" w:eastAsia="zh-CN"/>
              </w:rPr>
              <w:t>202</w:t>
            </w:r>
            <w:r>
              <w:rPr>
                <w:rFonts w:hint="eastAsia" w:cs="Times New Roman"/>
                <w:sz w:val="28"/>
                <w:szCs w:val="28"/>
                <w:lang w:val="en-US" w:eastAsia="zh-CN"/>
              </w:rPr>
              <w:t>1</w:t>
            </w:r>
            <w:r>
              <w:rPr>
                <w:rFonts w:hint="default" w:ascii="Times New Roman" w:hAnsi="Times New Roman" w:eastAsia="宋体" w:cs="Times New Roman"/>
                <w:sz w:val="28"/>
                <w:szCs w:val="28"/>
                <w:lang w:val="en-US" w:eastAsia="zh-CN"/>
              </w:rPr>
              <w:t>年</w:t>
            </w:r>
            <w:r>
              <w:rPr>
                <w:rFonts w:hint="eastAsia" w:cs="Times New Roman"/>
                <w:sz w:val="28"/>
                <w:szCs w:val="28"/>
                <w:lang w:val="en-US" w:eastAsia="zh-CN"/>
              </w:rPr>
              <w:t>10</w:t>
            </w:r>
            <w:r>
              <w:rPr>
                <w:rFonts w:hint="default" w:ascii="Times New Roman" w:hAnsi="Times New Roman" w:eastAsia="宋体" w:cs="Times New Roman"/>
                <w:sz w:val="28"/>
                <w:szCs w:val="28"/>
                <w:lang w:val="en-US" w:eastAsia="zh-CN"/>
              </w:rPr>
              <w:t>月</w:t>
            </w:r>
            <w:r>
              <w:rPr>
                <w:rFonts w:hint="eastAsia" w:cs="Times New Roman"/>
                <w:sz w:val="28"/>
                <w:szCs w:val="28"/>
                <w:lang w:val="en-US" w:eastAsia="zh-CN"/>
              </w:rPr>
              <w:t>27</w:t>
            </w:r>
            <w:r>
              <w:rPr>
                <w:rFonts w:hint="default" w:ascii="Times New Roman" w:hAnsi="Times New Roman" w:eastAsia="宋体" w:cs="Times New Roman"/>
                <w:sz w:val="28"/>
                <w:szCs w:val="28"/>
                <w:lang w:val="en-US" w:eastAsia="zh-CN"/>
              </w:rPr>
              <w:t>日至</w:t>
            </w:r>
            <w:r>
              <w:rPr>
                <w:rFonts w:hint="eastAsia" w:cs="Times New Roman"/>
                <w:sz w:val="28"/>
                <w:szCs w:val="28"/>
                <w:lang w:val="en-US" w:eastAsia="zh-CN"/>
              </w:rPr>
              <w:t>10</w:t>
            </w:r>
            <w:r>
              <w:rPr>
                <w:rFonts w:hint="default" w:ascii="Times New Roman" w:hAnsi="Times New Roman" w:eastAsia="宋体" w:cs="Times New Roman"/>
                <w:sz w:val="28"/>
                <w:szCs w:val="28"/>
                <w:lang w:val="en-US" w:eastAsia="zh-CN"/>
              </w:rPr>
              <w:t>月</w:t>
            </w:r>
            <w:r>
              <w:rPr>
                <w:rFonts w:hint="eastAsia" w:cs="Times New Roman"/>
                <w:sz w:val="28"/>
                <w:szCs w:val="28"/>
                <w:lang w:val="en-US" w:eastAsia="zh-CN"/>
              </w:rPr>
              <w:t>28</w:t>
            </w:r>
            <w:r>
              <w:rPr>
                <w:rFonts w:hint="default" w:ascii="Times New Roman" w:hAnsi="Times New Roman" w:eastAsia="宋体" w:cs="Times New Roman"/>
                <w:sz w:val="28"/>
                <w:szCs w:val="28"/>
                <w:lang w:val="en-US" w:eastAsia="zh-CN"/>
              </w:rPr>
              <w:t>日，期间生产设施运行正常，环保设施运行正常。根据现场调查及资料项目生产负荷统计结果见下表。</w:t>
            </w:r>
          </w:p>
          <w:p>
            <w:pPr>
              <w:pStyle w:val="32"/>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表</w:t>
            </w:r>
            <w:r>
              <w:rPr>
                <w:rFonts w:hint="eastAsia" w:ascii="Times New Roman" w:hAnsi="Times New Roman" w:cs="Times New Roman"/>
                <w:b/>
                <w:bCs/>
                <w:sz w:val="24"/>
                <w:szCs w:val="24"/>
                <w:lang w:val="en-US" w:eastAsia="zh-CN"/>
              </w:rPr>
              <w:t>12</w:t>
            </w:r>
            <w:r>
              <w:rPr>
                <w:rFonts w:hint="default" w:ascii="Times New Roman" w:hAnsi="Times New Roman" w:eastAsia="宋体" w:cs="Times New Roman"/>
                <w:b/>
                <w:bCs/>
                <w:sz w:val="24"/>
                <w:szCs w:val="24"/>
                <w:lang w:val="en-US" w:eastAsia="zh-CN"/>
              </w:rPr>
              <w:t xml:space="preserve"> 验收期间生产情况表</w:t>
            </w:r>
          </w:p>
          <w:tbl>
            <w:tblPr>
              <w:tblStyle w:val="20"/>
              <w:tblW w:w="5000"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1893"/>
              <w:gridCol w:w="1893"/>
              <w:gridCol w:w="1891"/>
              <w:gridCol w:w="1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日期</w:t>
                  </w:r>
                </w:p>
              </w:tc>
              <w:tc>
                <w:tcPr>
                  <w:tcW w:w="1000" w:type="pct"/>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设计生产量（t）</w:t>
                  </w:r>
                </w:p>
              </w:tc>
              <w:tc>
                <w:tcPr>
                  <w:tcW w:w="1000" w:type="pct"/>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实际</w:t>
                  </w:r>
                  <w:r>
                    <w:rPr>
                      <w:rFonts w:hint="eastAsia" w:ascii="Times New Roman" w:hAnsi="Times New Roman" w:cs="Times New Roman"/>
                      <w:color w:val="auto"/>
                      <w:sz w:val="21"/>
                      <w:szCs w:val="21"/>
                      <w:vertAlign w:val="baseline"/>
                      <w:lang w:val="en-US" w:eastAsia="zh-CN"/>
                    </w:rPr>
                    <w:t>生产量</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cs="Times New Roman"/>
                      <w:b w:val="0"/>
                      <w:bCs w:val="0"/>
                      <w:color w:val="auto"/>
                      <w:sz w:val="21"/>
                      <w:szCs w:val="21"/>
                      <w:lang w:val="en-US" w:eastAsia="zh-CN"/>
                    </w:rPr>
                    <w:t>t</w:t>
                  </w:r>
                  <w:r>
                    <w:rPr>
                      <w:rFonts w:hint="default" w:ascii="Times New Roman" w:hAnsi="Times New Roman" w:eastAsia="宋体" w:cs="Times New Roman"/>
                      <w:color w:val="auto"/>
                      <w:sz w:val="21"/>
                      <w:szCs w:val="21"/>
                      <w:vertAlign w:val="baseline"/>
                      <w:lang w:val="en-US" w:eastAsia="zh-CN"/>
                    </w:rPr>
                    <w:t>）</w:t>
                  </w:r>
                </w:p>
              </w:tc>
              <w:tc>
                <w:tcPr>
                  <w:tcW w:w="999" w:type="pct"/>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负荷（%）</w:t>
                  </w:r>
                </w:p>
              </w:tc>
              <w:tc>
                <w:tcPr>
                  <w:tcW w:w="1001" w:type="pct"/>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平均负荷（%）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r>
                    <w:rPr>
                      <w:rFonts w:hint="default" w:ascii="Times New Roman" w:hAnsi="Times New Roman" w:eastAsia="宋体" w:cs="Times New Roman"/>
                      <w:color w:val="auto"/>
                      <w:sz w:val="21"/>
                      <w:szCs w:val="21"/>
                      <w:vertAlign w:val="baseline"/>
                      <w:lang w:val="en-US" w:eastAsia="zh-CN"/>
                    </w:rPr>
                    <w:t>月</w:t>
                  </w:r>
                  <w:r>
                    <w:rPr>
                      <w:rFonts w:hint="eastAsia" w:ascii="Times New Roman" w:hAnsi="Times New Roman" w:cs="Times New Roman"/>
                      <w:color w:val="auto"/>
                      <w:sz w:val="21"/>
                      <w:szCs w:val="21"/>
                      <w:vertAlign w:val="baseline"/>
                      <w:lang w:val="en-US" w:eastAsia="zh-CN"/>
                    </w:rPr>
                    <w:t>27</w:t>
                  </w:r>
                  <w:r>
                    <w:rPr>
                      <w:rFonts w:hint="default" w:ascii="Times New Roman" w:hAnsi="Times New Roman" w:eastAsia="宋体" w:cs="Times New Roman"/>
                      <w:color w:val="auto"/>
                      <w:sz w:val="21"/>
                      <w:szCs w:val="21"/>
                      <w:vertAlign w:val="baseline"/>
                      <w:lang w:val="en-US" w:eastAsia="zh-CN"/>
                    </w:rPr>
                    <w:t>日</w:t>
                  </w:r>
                </w:p>
              </w:tc>
              <w:tc>
                <w:tcPr>
                  <w:tcW w:w="1000" w:type="pct"/>
                  <w:vMerge w:val="restart"/>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16.6</w:t>
                  </w:r>
                </w:p>
              </w:tc>
              <w:tc>
                <w:tcPr>
                  <w:tcW w:w="1000" w:type="pct"/>
                  <w:tcBorders>
                    <w:tl2br w:val="nil"/>
                    <w:tr2bl w:val="nil"/>
                  </w:tcBorders>
                  <w:vAlign w:val="center"/>
                </w:tcPr>
                <w:p>
                  <w:pPr>
                    <w:pStyle w:val="32"/>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999" w:type="pct"/>
                  <w:tcBorders>
                    <w:tl2br w:val="nil"/>
                    <w:tr2bl w:val="nil"/>
                  </w:tcBorders>
                  <w:vAlign w:val="center"/>
                </w:tcPr>
                <w:p>
                  <w:pPr>
                    <w:pStyle w:val="32"/>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77.8</w:t>
                  </w:r>
                </w:p>
              </w:tc>
              <w:tc>
                <w:tcPr>
                  <w:tcW w:w="1001" w:type="pct"/>
                  <w:vMerge w:val="restart"/>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8" w:type="pct"/>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r>
                    <w:rPr>
                      <w:rFonts w:hint="default" w:ascii="Times New Roman" w:hAnsi="Times New Roman" w:eastAsia="宋体" w:cs="Times New Roman"/>
                      <w:color w:val="auto"/>
                      <w:sz w:val="21"/>
                      <w:szCs w:val="21"/>
                      <w:vertAlign w:val="baseline"/>
                      <w:lang w:val="en-US" w:eastAsia="zh-CN"/>
                    </w:rPr>
                    <w:t>月</w:t>
                  </w:r>
                  <w:r>
                    <w:rPr>
                      <w:rFonts w:hint="eastAsia" w:ascii="Times New Roman" w:hAnsi="Times New Roman" w:cs="Times New Roman"/>
                      <w:color w:val="auto"/>
                      <w:sz w:val="21"/>
                      <w:szCs w:val="21"/>
                      <w:vertAlign w:val="baseline"/>
                      <w:lang w:val="en-US" w:eastAsia="zh-CN"/>
                    </w:rPr>
                    <w:t>28</w:t>
                  </w:r>
                  <w:r>
                    <w:rPr>
                      <w:rFonts w:hint="default" w:ascii="Times New Roman" w:hAnsi="Times New Roman" w:eastAsia="宋体" w:cs="Times New Roman"/>
                      <w:color w:val="auto"/>
                      <w:sz w:val="21"/>
                      <w:szCs w:val="21"/>
                      <w:vertAlign w:val="baseline"/>
                      <w:lang w:val="en-US" w:eastAsia="zh-CN"/>
                    </w:rPr>
                    <w:t>日</w:t>
                  </w:r>
                </w:p>
              </w:tc>
              <w:tc>
                <w:tcPr>
                  <w:tcW w:w="1000" w:type="pct"/>
                  <w:vMerge w:val="continue"/>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p>
              </w:tc>
              <w:tc>
                <w:tcPr>
                  <w:tcW w:w="1000" w:type="pct"/>
                  <w:tcBorders>
                    <w:tl2br w:val="nil"/>
                    <w:tr2bl w:val="nil"/>
                  </w:tcBorders>
                  <w:vAlign w:val="center"/>
                </w:tcPr>
                <w:p>
                  <w:pPr>
                    <w:pStyle w:val="32"/>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12.8</w:t>
                  </w:r>
                </w:p>
              </w:tc>
              <w:tc>
                <w:tcPr>
                  <w:tcW w:w="999" w:type="pct"/>
                  <w:tcBorders>
                    <w:tl2br w:val="nil"/>
                    <w:tr2bl w:val="nil"/>
                  </w:tcBorders>
                  <w:vAlign w:val="center"/>
                </w:tcPr>
                <w:p>
                  <w:pPr>
                    <w:pStyle w:val="32"/>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77.1</w:t>
                  </w:r>
                </w:p>
              </w:tc>
              <w:tc>
                <w:tcPr>
                  <w:tcW w:w="1001" w:type="pct"/>
                  <w:vMerge w:val="continue"/>
                  <w:tcBorders>
                    <w:tl2br w:val="nil"/>
                    <w:tr2bl w:val="nil"/>
                  </w:tcBorders>
                  <w:vAlign w:val="center"/>
                </w:tcPr>
                <w:p>
                  <w:pPr>
                    <w:pStyle w:val="32"/>
                    <w:jc w:val="center"/>
                    <w:rPr>
                      <w:rFonts w:hint="default" w:ascii="Times New Roman" w:hAnsi="Times New Roman" w:eastAsia="宋体" w:cs="Times New Roman"/>
                      <w:color w:val="auto"/>
                      <w:sz w:val="21"/>
                      <w:szCs w:val="21"/>
                      <w:vertAlign w:val="baseline"/>
                      <w:lang w:val="en-US" w:eastAsia="zh-CN"/>
                    </w:rPr>
                  </w:pPr>
                </w:p>
              </w:tc>
            </w:tr>
          </w:tbl>
          <w:p>
            <w:pPr>
              <w:pStyle w:val="32"/>
              <w:jc w:val="both"/>
              <w:rPr>
                <w:rFonts w:hint="default" w:ascii="Times New Roman" w:hAnsi="Times New Roman" w:eastAsia="宋体"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5" w:hRule="atLeast"/>
          <w:jc w:val="center"/>
        </w:trPr>
        <w:tc>
          <w:tcPr>
            <w:tcW w:w="9147" w:type="dxa"/>
            <w:tcBorders>
              <w:tl2br w:val="nil"/>
              <w:tr2bl w:val="nil"/>
            </w:tcBorders>
          </w:tcPr>
          <w:p>
            <w:pPr>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验收监测结果：</w:t>
            </w:r>
          </w:p>
          <w:p>
            <w:pPr>
              <w:keepNext w:val="0"/>
              <w:keepLines w:val="0"/>
              <w:pageBreakBefore w:val="0"/>
              <w:kinsoku/>
              <w:wordWrap/>
              <w:overflowPunct/>
              <w:topLinePunct w:val="0"/>
              <w:bidi w:val="0"/>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1、验收监测期间气象记录</w:t>
            </w:r>
          </w:p>
          <w:p>
            <w:pPr>
              <w:keepNext w:val="0"/>
              <w:keepLines w:val="0"/>
              <w:pageBreakBefore w:val="0"/>
              <w:kinsoku/>
              <w:wordWrap/>
              <w:overflowPunct/>
              <w:topLinePunct w:val="0"/>
              <w:bidi w:val="0"/>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验收监测期间气象情况详见下表</w:t>
            </w:r>
            <w:r>
              <w:rPr>
                <w:rFonts w:hint="default" w:ascii="Times New Roman" w:hAnsi="Times New Roman" w:eastAsia="宋体" w:cs="Times New Roman"/>
                <w:sz w:val="28"/>
                <w:szCs w:val="28"/>
                <w:lang w:eastAsia="zh-CN"/>
              </w:rPr>
              <w:t>：</w:t>
            </w:r>
          </w:p>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1</w:t>
            </w:r>
            <w:r>
              <w:rPr>
                <w:rFonts w:hint="eastAsia" w:cs="Times New Roman"/>
                <w:b/>
                <w:bCs/>
                <w:sz w:val="24"/>
                <w:szCs w:val="24"/>
                <w:lang w:val="en-US" w:eastAsia="zh-CN"/>
              </w:rPr>
              <w:t>3</w:t>
            </w:r>
            <w:r>
              <w:rPr>
                <w:rFonts w:hint="default" w:ascii="Times New Roman" w:hAnsi="Times New Roman" w:eastAsia="宋体" w:cs="Times New Roman"/>
                <w:b/>
                <w:bCs/>
                <w:sz w:val="24"/>
                <w:szCs w:val="24"/>
              </w:rPr>
              <w:t xml:space="preserve">  验收监测期间气象记录表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942"/>
              <w:gridCol w:w="878"/>
              <w:gridCol w:w="1551"/>
              <w:gridCol w:w="1551"/>
              <w:gridCol w:w="1582"/>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日期</w:t>
                  </w:r>
                </w:p>
              </w:tc>
              <w:tc>
                <w:tcPr>
                  <w:tcW w:w="498"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天气</w:t>
                  </w:r>
                </w:p>
              </w:tc>
              <w:tc>
                <w:tcPr>
                  <w:tcW w:w="464"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风向</w:t>
                  </w:r>
                </w:p>
              </w:tc>
              <w:tc>
                <w:tcPr>
                  <w:tcW w:w="82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风速（m/s）</w:t>
                  </w:r>
                </w:p>
              </w:tc>
              <w:tc>
                <w:tcPr>
                  <w:tcW w:w="82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温度(℃)</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气压(kPa)</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湿度</w:t>
                  </w:r>
                  <w:r>
                    <w:rPr>
                      <w:rFonts w:hint="eastAsia" w:ascii="Times New Roman" w:hAnsi="Times New Roman"/>
                      <w:kern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w:t>
                  </w:r>
                  <w:r>
                    <w:rPr>
                      <w:rFonts w:hint="eastAsia"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10</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27</w:t>
                  </w:r>
                </w:p>
              </w:tc>
              <w:tc>
                <w:tcPr>
                  <w:tcW w:w="498"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晴</w:t>
                  </w:r>
                </w:p>
              </w:tc>
              <w:tc>
                <w:tcPr>
                  <w:tcW w:w="464"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北</w:t>
                  </w:r>
                </w:p>
              </w:tc>
              <w:tc>
                <w:tcPr>
                  <w:tcW w:w="82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cs="Times New Roman"/>
                      <w:sz w:val="21"/>
                      <w:szCs w:val="21"/>
                      <w:lang w:val="en-US" w:eastAsia="zh-CN"/>
                    </w:rPr>
                    <w:t>3</w:t>
                  </w:r>
                </w:p>
              </w:tc>
              <w:tc>
                <w:tcPr>
                  <w:tcW w:w="82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r>
                    <w:rPr>
                      <w:rFonts w:hint="eastAsia" w:cs="Times New Roman"/>
                      <w:sz w:val="21"/>
                      <w:szCs w:val="21"/>
                      <w:lang w:val="en-US" w:eastAsia="zh-CN"/>
                    </w:rPr>
                    <w:t>1.5</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cs="Times New Roman"/>
                      <w:sz w:val="21"/>
                      <w:szCs w:val="21"/>
                      <w:lang w:val="en-US" w:eastAsia="zh-CN"/>
                    </w:rPr>
                  </w:pPr>
                  <w:r>
                    <w:rPr>
                      <w:rFonts w:hint="eastAsia" w:cs="Times New Roman"/>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w:t>
                  </w:r>
                  <w:r>
                    <w:rPr>
                      <w:rFonts w:hint="eastAsia"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10</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28</w:t>
                  </w:r>
                </w:p>
              </w:tc>
              <w:tc>
                <w:tcPr>
                  <w:tcW w:w="498"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晴</w:t>
                  </w:r>
                </w:p>
              </w:tc>
              <w:tc>
                <w:tcPr>
                  <w:tcW w:w="464"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北</w:t>
                  </w:r>
                </w:p>
              </w:tc>
              <w:tc>
                <w:tcPr>
                  <w:tcW w:w="82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cs="Times New Roman"/>
                      <w:sz w:val="21"/>
                      <w:szCs w:val="21"/>
                      <w:lang w:val="en-US" w:eastAsia="zh-CN"/>
                    </w:rPr>
                    <w:t>4</w:t>
                  </w:r>
                </w:p>
              </w:tc>
              <w:tc>
                <w:tcPr>
                  <w:tcW w:w="820"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r>
                    <w:rPr>
                      <w:rFonts w:hint="eastAsia" w:cs="Times New Roman"/>
                      <w:sz w:val="21"/>
                      <w:szCs w:val="21"/>
                      <w:lang w:val="en-US" w:eastAsia="zh-CN"/>
                    </w:rPr>
                    <w:t>2.5</w:t>
                  </w:r>
                </w:p>
              </w:tc>
              <w:tc>
                <w:tcPr>
                  <w:tcW w:w="836" w:type="pct"/>
                  <w:tcBorders>
                    <w:tl2br w:val="nil"/>
                    <w:tr2bl w:val="nil"/>
                  </w:tcBorders>
                  <w:noWrap w:val="0"/>
                  <w:vAlign w:val="center"/>
                </w:tcPr>
                <w:p>
                  <w:pPr>
                    <w:keepNext w:val="0"/>
                    <w:keepLines w:val="0"/>
                    <w:pageBreakBefore w:val="0"/>
                    <w:kinsoku/>
                    <w:wordWrap/>
                    <w:overflowPunct/>
                    <w:topLinePunct w:val="0"/>
                    <w:bidi w:val="0"/>
                    <w:spacing w:line="36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83</w:t>
                  </w:r>
                </w:p>
              </w:tc>
            </w:tr>
          </w:tbl>
          <w:p>
            <w:pPr>
              <w:pStyle w:val="2"/>
              <w:numPr>
                <w:ilvl w:val="0"/>
                <w:numId w:val="0"/>
              </w:numPr>
              <w:spacing w:line="360" w:lineRule="auto"/>
              <w:ind w:firstLine="562" w:firstLineChars="200"/>
              <w:jc w:val="both"/>
              <w:rPr>
                <w:rFonts w:hint="default" w:ascii="Times New Roman" w:hAnsi="Times New Roman" w:eastAsia="宋体" w:cs="Times New Roman"/>
                <w:b/>
                <w:bCs/>
                <w:sz w:val="28"/>
                <w:szCs w:val="28"/>
              </w:rPr>
            </w:pPr>
            <w:r>
              <w:rPr>
                <w:rFonts w:hint="eastAsia" w:cs="Times New Roman"/>
                <w:b/>
                <w:bCs/>
                <w:sz w:val="28"/>
                <w:szCs w:val="28"/>
                <w:lang w:val="en-US" w:eastAsia="zh-CN"/>
              </w:rPr>
              <w:t>2</w:t>
            </w:r>
            <w:r>
              <w:rPr>
                <w:rFonts w:hint="default" w:ascii="Times New Roman" w:hAnsi="Times New Roman" w:eastAsia="宋体" w:cs="Times New Roman"/>
                <w:b/>
                <w:bCs/>
                <w:sz w:val="28"/>
                <w:szCs w:val="28"/>
                <w:lang w:val="en-US" w:eastAsia="zh-CN"/>
              </w:rPr>
              <w:t>、</w:t>
            </w:r>
            <w:r>
              <w:rPr>
                <w:rFonts w:hint="default" w:ascii="Times New Roman" w:hAnsi="Times New Roman" w:eastAsia="宋体" w:cs="Times New Roman"/>
                <w:b/>
                <w:bCs/>
                <w:sz w:val="28"/>
                <w:szCs w:val="28"/>
                <w:lang w:eastAsia="zh-CN"/>
              </w:rPr>
              <w:t>废气监测结果及评价</w:t>
            </w:r>
          </w:p>
          <w:p>
            <w:pPr>
              <w:pStyle w:val="2"/>
              <w:spacing w:line="360" w:lineRule="auto"/>
              <w:ind w:left="480" w:left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本次</w:t>
            </w:r>
            <w:r>
              <w:rPr>
                <w:rFonts w:hint="eastAsia" w:cs="Times New Roman"/>
                <w:sz w:val="28"/>
                <w:szCs w:val="28"/>
                <w:lang w:eastAsia="zh-CN"/>
              </w:rPr>
              <w:t>无</w:t>
            </w:r>
            <w:r>
              <w:rPr>
                <w:rFonts w:hint="default" w:ascii="Times New Roman" w:hAnsi="Times New Roman" w:eastAsia="宋体" w:cs="Times New Roman"/>
                <w:sz w:val="28"/>
                <w:szCs w:val="28"/>
                <w:lang w:eastAsia="zh-CN"/>
              </w:rPr>
              <w:t>组织废气污染物排放监测结果详见</w:t>
            </w:r>
            <w:r>
              <w:rPr>
                <w:rFonts w:hint="eastAsia" w:cs="Times New Roman"/>
                <w:sz w:val="28"/>
                <w:szCs w:val="28"/>
                <w:lang w:val="en-US" w:eastAsia="zh-CN"/>
              </w:rPr>
              <w:t>下</w:t>
            </w:r>
            <w:r>
              <w:rPr>
                <w:rFonts w:hint="default" w:ascii="Times New Roman" w:hAnsi="Times New Roman" w:eastAsia="宋体" w:cs="Times New Roman"/>
                <w:sz w:val="28"/>
                <w:szCs w:val="28"/>
                <w:lang w:eastAsia="zh-CN"/>
              </w:rPr>
              <w:t>表</w:t>
            </w:r>
            <w:r>
              <w:rPr>
                <w:rFonts w:hint="default" w:ascii="Times New Roman" w:hAnsi="Times New Roman" w:eastAsia="宋体" w:cs="Times New Roman"/>
                <w:sz w:val="28"/>
                <w:szCs w:val="28"/>
                <w:lang w:val="en-US" w:eastAsia="zh-CN"/>
              </w:rPr>
              <w:t>：</w:t>
            </w:r>
          </w:p>
          <w:p>
            <w:pPr>
              <w:pStyle w:val="36"/>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4</w:t>
            </w:r>
            <w:r>
              <w:rPr>
                <w:rFonts w:hint="default" w:ascii="Times New Roman" w:hAnsi="Times New Roman" w:eastAsia="宋体" w:cs="Times New Roman"/>
                <w:b/>
                <w:bCs/>
                <w:sz w:val="24"/>
                <w:szCs w:val="24"/>
                <w:lang w:eastAsia="zh-CN"/>
              </w:rPr>
              <w:t xml:space="preserve">  </w:t>
            </w:r>
            <w:r>
              <w:rPr>
                <w:rFonts w:hint="eastAsia" w:ascii="Times New Roman" w:hAnsi="Times New Roman" w:eastAsia="宋体" w:cs="Times New Roman"/>
                <w:b/>
                <w:bCs/>
                <w:sz w:val="24"/>
                <w:szCs w:val="24"/>
                <w:lang w:val="en-US" w:eastAsia="zh-CN"/>
              </w:rPr>
              <w:t>有</w:t>
            </w:r>
            <w:r>
              <w:rPr>
                <w:rFonts w:hint="default" w:ascii="Times New Roman" w:hAnsi="Times New Roman" w:eastAsia="宋体" w:cs="Times New Roman"/>
                <w:b/>
                <w:bCs/>
                <w:sz w:val="24"/>
                <w:szCs w:val="24"/>
                <w:lang w:eastAsia="zh-CN"/>
              </w:rPr>
              <w:t>组织废气监测结果一览表</w:t>
            </w:r>
          </w:p>
          <w:tbl>
            <w:tblPr>
              <w:tblStyle w:val="19"/>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265"/>
              <w:gridCol w:w="1159"/>
              <w:gridCol w:w="1159"/>
              <w:gridCol w:w="1159"/>
              <w:gridCol w:w="1159"/>
              <w:gridCol w:w="1101"/>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9460" w:type="dxa"/>
                  <w:gridSpan w:val="8"/>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（二）检测结果</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2021.</w:t>
                  </w:r>
                  <w:r>
                    <w:rPr>
                      <w:rFonts w:hint="eastAsia" w:cs="Times New Roman"/>
                      <w:color w:val="000000"/>
                      <w:sz w:val="21"/>
                      <w:szCs w:val="21"/>
                      <w:lang w:val="en-US" w:eastAsia="zh-CN"/>
                    </w:rPr>
                    <w:t>10</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2</w:t>
                  </w:r>
                  <w:r>
                    <w:rPr>
                      <w:rFonts w:hint="eastAsia" w:ascii="Times New Roman" w:hAnsi="Times New Roman" w:eastAsia="宋体" w:cs="Times New Roman"/>
                      <w:color w:val="000000"/>
                      <w:sz w:val="21"/>
                      <w:szCs w:val="21"/>
                      <w:lang w:val="en-US" w:eastAsia="zh-CN"/>
                    </w:rPr>
                    <w:t>7</w:t>
                  </w:r>
                  <w:r>
                    <w:rPr>
                      <w:rFonts w:hint="eastAsia" w:ascii="Times New Roman" w:hAnsi="Times New Roman" w:eastAsia="宋体" w:cs="Times New Roman"/>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5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Calibri" w:hAnsi="Calibri" w:eastAsia="宋体"/>
                      <w:color w:val="000000"/>
                      <w:kern w:val="2"/>
                      <w:sz w:val="21"/>
                      <w:szCs w:val="21"/>
                      <w:lang w:val="en-US" w:eastAsia="zh-CN" w:bidi="ar-SA"/>
                    </w:rPr>
                  </w:pPr>
                  <w:r>
                    <w:rPr>
                      <w:rFonts w:hint="eastAsia" w:eastAsia="宋体"/>
                      <w:color w:val="000000"/>
                      <w:sz w:val="21"/>
                      <w:szCs w:val="21"/>
                      <w:lang w:val="en-US" w:eastAsia="zh-CN"/>
                    </w:rPr>
                    <w:t>检测因子</w:t>
                  </w:r>
                </w:p>
              </w:tc>
              <w:tc>
                <w:tcPr>
                  <w:tcW w:w="126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Calibri" w:hAnsi="Calibri" w:eastAsia="宋体"/>
                      <w:color w:val="000000"/>
                      <w:kern w:val="2"/>
                      <w:sz w:val="21"/>
                      <w:szCs w:val="21"/>
                      <w:lang w:val="en-US" w:eastAsia="zh-CN" w:bidi="ar-SA"/>
                    </w:rPr>
                  </w:pPr>
                  <w:r>
                    <w:rPr>
                      <w:rFonts w:hint="eastAsia" w:eastAsia="宋体"/>
                      <w:color w:val="000000"/>
                      <w:kern w:val="2"/>
                      <w:sz w:val="21"/>
                      <w:szCs w:val="21"/>
                      <w:lang w:val="en-US" w:eastAsia="zh-CN" w:bidi="ar-SA"/>
                    </w:rPr>
                    <w:t>检测因子</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第一次</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第二次</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第三次</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均值</w:t>
                  </w:r>
                </w:p>
              </w:tc>
              <w:tc>
                <w:tcPr>
                  <w:tcW w:w="110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限值</w:t>
                  </w:r>
                </w:p>
              </w:tc>
              <w:tc>
                <w:tcPr>
                  <w:tcW w:w="110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5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下风向1</w:t>
                  </w:r>
                </w:p>
              </w:tc>
              <w:tc>
                <w:tcPr>
                  <w:tcW w:w="126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颗粒物</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0.404</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0.404</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0.368</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fldChar w:fldCharType="begin"/>
                  </w:r>
                  <w:r>
                    <w:rPr>
                      <w:rFonts w:hint="default" w:ascii="Times New Roman" w:hAnsi="Times New Roman" w:eastAsia="宋体" w:cs="Times New Roman"/>
                      <w:color w:val="000000"/>
                      <w:kern w:val="2"/>
                      <w:sz w:val="21"/>
                      <w:szCs w:val="21"/>
                      <w:lang w:val="en-US" w:eastAsia="zh-CN" w:bidi="ar-SA"/>
                    </w:rPr>
                    <w:instrText xml:space="preserve"> = average(C6:E6) \* MERGEFORMAT </w:instrText>
                  </w:r>
                  <w:r>
                    <w:rPr>
                      <w:rFonts w:hint="default" w:ascii="Times New Roman" w:hAnsi="Times New Roman" w:eastAsia="宋体" w:cs="Times New Roman"/>
                      <w:color w:val="000000"/>
                      <w:kern w:val="2"/>
                      <w:sz w:val="21"/>
                      <w:szCs w:val="21"/>
                      <w:lang w:val="en-US" w:eastAsia="zh-CN" w:bidi="ar-SA"/>
                    </w:rPr>
                    <w:fldChar w:fldCharType="separate"/>
                  </w:r>
                  <w:r>
                    <w:rPr>
                      <w:rFonts w:hint="default" w:ascii="Times New Roman" w:hAnsi="Times New Roman" w:eastAsia="宋体" w:cs="Times New Roman"/>
                      <w:color w:val="000000"/>
                      <w:kern w:val="2"/>
                      <w:sz w:val="21"/>
                      <w:szCs w:val="21"/>
                      <w:lang w:val="en-US" w:eastAsia="zh-CN" w:bidi="ar-SA"/>
                    </w:rPr>
                    <w:t>0.392</w:t>
                  </w:r>
                  <w:r>
                    <w:rPr>
                      <w:rFonts w:hint="default" w:ascii="Times New Roman" w:hAnsi="Times New Roman" w:eastAsia="宋体" w:cs="Times New Roman"/>
                      <w:color w:val="000000"/>
                      <w:kern w:val="2"/>
                      <w:sz w:val="21"/>
                      <w:szCs w:val="21"/>
                      <w:lang w:val="en-US" w:eastAsia="zh-CN" w:bidi="ar-SA"/>
                    </w:rPr>
                    <w:fldChar w:fldCharType="end"/>
                  </w:r>
                </w:p>
              </w:tc>
              <w:tc>
                <w:tcPr>
                  <w:tcW w:w="110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w:t>
                  </w:r>
                </w:p>
              </w:tc>
              <w:tc>
                <w:tcPr>
                  <w:tcW w:w="1108"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35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下风向2</w:t>
                  </w:r>
                </w:p>
              </w:tc>
              <w:tc>
                <w:tcPr>
                  <w:tcW w:w="12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0.333</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0.386</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0.456</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average(C7:E7)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0.39</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fldChar w:fldCharType="end"/>
                  </w:r>
                </w:p>
              </w:tc>
              <w:tc>
                <w:tcPr>
                  <w:tcW w:w="110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p>
              </w:tc>
              <w:tc>
                <w:tcPr>
                  <w:tcW w:w="110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35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下风向3</w:t>
                  </w:r>
                </w:p>
              </w:tc>
              <w:tc>
                <w:tcPr>
                  <w:tcW w:w="12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0.421</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0.368</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0.474</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average(C8:E8)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0.421</w:t>
                  </w:r>
                  <w:r>
                    <w:rPr>
                      <w:rFonts w:hint="default" w:ascii="Times New Roman" w:hAnsi="Times New Roman" w:eastAsia="宋体" w:cs="Times New Roman"/>
                      <w:color w:val="auto"/>
                      <w:kern w:val="2"/>
                      <w:sz w:val="21"/>
                      <w:szCs w:val="21"/>
                      <w:lang w:val="en-US" w:eastAsia="zh-CN" w:bidi="ar-SA"/>
                    </w:rPr>
                    <w:fldChar w:fldCharType="end"/>
                  </w:r>
                </w:p>
              </w:tc>
              <w:tc>
                <w:tcPr>
                  <w:tcW w:w="110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p>
              </w:tc>
              <w:tc>
                <w:tcPr>
                  <w:tcW w:w="110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9460" w:type="dxa"/>
                  <w:gridSpan w:val="8"/>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（三）检测结果</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2021.</w:t>
                  </w:r>
                  <w:r>
                    <w:rPr>
                      <w:rFonts w:hint="eastAsia" w:cs="Times New Roman"/>
                      <w:color w:val="000000"/>
                      <w:sz w:val="21"/>
                      <w:szCs w:val="21"/>
                      <w:lang w:val="en-US" w:eastAsia="zh-CN"/>
                    </w:rPr>
                    <w:t>10</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2</w:t>
                  </w:r>
                  <w:r>
                    <w:rPr>
                      <w:rFonts w:hint="eastAsia" w:ascii="Times New Roman" w:hAnsi="Times New Roman" w:eastAsia="宋体" w:cs="Times New Roman"/>
                      <w:color w:val="000000"/>
                      <w:sz w:val="21"/>
                      <w:szCs w:val="21"/>
                      <w:lang w:val="en-US" w:eastAsia="zh-CN"/>
                    </w:rPr>
                    <w:t>8</w:t>
                  </w:r>
                  <w:r>
                    <w:rPr>
                      <w:rFonts w:hint="eastAsia" w:ascii="Times New Roman" w:hAnsi="Times New Roman" w:eastAsia="宋体" w:cs="Times New Roman"/>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5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olor w:val="000000"/>
                      <w:kern w:val="2"/>
                      <w:sz w:val="21"/>
                      <w:szCs w:val="21"/>
                      <w:lang w:val="en-US" w:eastAsia="zh-CN" w:bidi="ar-SA"/>
                    </w:rPr>
                  </w:pPr>
                  <w:r>
                    <w:rPr>
                      <w:rFonts w:hint="eastAsia" w:eastAsia="宋体"/>
                      <w:color w:val="000000"/>
                      <w:sz w:val="21"/>
                      <w:szCs w:val="21"/>
                      <w:lang w:val="en-US" w:eastAsia="zh-CN"/>
                    </w:rPr>
                    <w:t>检测因子</w:t>
                  </w:r>
                </w:p>
              </w:tc>
              <w:tc>
                <w:tcPr>
                  <w:tcW w:w="126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Calibri" w:hAnsi="Calibri" w:eastAsia="宋体"/>
                      <w:color w:val="000000"/>
                      <w:kern w:val="2"/>
                      <w:sz w:val="21"/>
                      <w:szCs w:val="21"/>
                      <w:lang w:val="en-US" w:eastAsia="zh-CN" w:bidi="ar-SA"/>
                    </w:rPr>
                  </w:pPr>
                  <w:r>
                    <w:rPr>
                      <w:rFonts w:hint="eastAsia" w:eastAsia="宋体"/>
                      <w:color w:val="000000"/>
                      <w:kern w:val="2"/>
                      <w:sz w:val="21"/>
                      <w:szCs w:val="21"/>
                      <w:lang w:val="en-US" w:eastAsia="zh-CN" w:bidi="ar-SA"/>
                    </w:rPr>
                    <w:t>检测因子</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第一次</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第二次</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第三次</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均值</w:t>
                  </w:r>
                </w:p>
              </w:tc>
              <w:tc>
                <w:tcPr>
                  <w:tcW w:w="1101"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限值</w:t>
                  </w:r>
                </w:p>
              </w:tc>
              <w:tc>
                <w:tcPr>
                  <w:tcW w:w="110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5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下风向1</w:t>
                  </w:r>
                </w:p>
              </w:tc>
              <w:tc>
                <w:tcPr>
                  <w:tcW w:w="1265"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颗粒物</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0.428</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0.446</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0.339</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average(C11:E11)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0.404</w:t>
                  </w:r>
                  <w:r>
                    <w:rPr>
                      <w:rFonts w:hint="default" w:ascii="Times New Roman" w:hAnsi="Times New Roman" w:eastAsia="宋体" w:cs="Times New Roman"/>
                      <w:color w:val="auto"/>
                      <w:kern w:val="2"/>
                      <w:sz w:val="21"/>
                      <w:szCs w:val="21"/>
                      <w:lang w:val="en-US" w:eastAsia="zh-CN" w:bidi="ar-SA"/>
                    </w:rPr>
                    <w:fldChar w:fldCharType="end"/>
                  </w:r>
                </w:p>
              </w:tc>
              <w:tc>
                <w:tcPr>
                  <w:tcW w:w="1101"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w:t>
                  </w:r>
                </w:p>
              </w:tc>
              <w:tc>
                <w:tcPr>
                  <w:tcW w:w="1108"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35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下风向2</w:t>
                  </w:r>
                </w:p>
              </w:tc>
              <w:tc>
                <w:tcPr>
                  <w:tcW w:w="12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0.393</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0.428</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0.357</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average(C12:E12)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0.39</w:t>
                  </w: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fldChar w:fldCharType="end"/>
                  </w:r>
                </w:p>
              </w:tc>
              <w:tc>
                <w:tcPr>
                  <w:tcW w:w="110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p>
              </w:tc>
              <w:tc>
                <w:tcPr>
                  <w:tcW w:w="110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35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下风向3</w:t>
                  </w:r>
                </w:p>
              </w:tc>
              <w:tc>
                <w:tcPr>
                  <w:tcW w:w="1265"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0.357</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0.357</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0.357</w:t>
                  </w:r>
                </w:p>
              </w:tc>
              <w:tc>
                <w:tcPr>
                  <w:tcW w:w="115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average(C13:E13)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0.357</w:t>
                  </w:r>
                  <w:r>
                    <w:rPr>
                      <w:rFonts w:hint="default" w:ascii="Times New Roman" w:hAnsi="Times New Roman" w:eastAsia="宋体" w:cs="Times New Roman"/>
                      <w:color w:val="auto"/>
                      <w:kern w:val="2"/>
                      <w:sz w:val="21"/>
                      <w:szCs w:val="21"/>
                      <w:lang w:val="en-US" w:eastAsia="zh-CN" w:bidi="ar-SA"/>
                    </w:rPr>
                    <w:fldChar w:fldCharType="end"/>
                  </w:r>
                </w:p>
              </w:tc>
              <w:tc>
                <w:tcPr>
                  <w:tcW w:w="1101"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p>
              </w:tc>
              <w:tc>
                <w:tcPr>
                  <w:tcW w:w="1108"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jc w:val="center"/>
              </w:trPr>
              <w:tc>
                <w:tcPr>
                  <w:tcW w:w="1350"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eastAsia="宋体"/>
                      <w:sz w:val="21"/>
                      <w:szCs w:val="21"/>
                      <w:lang w:eastAsia="zh-CN"/>
                    </w:rPr>
                  </w:pPr>
                  <w:r>
                    <w:rPr>
                      <w:rFonts w:hint="eastAsia"/>
                      <w:sz w:val="21"/>
                      <w:szCs w:val="21"/>
                      <w:lang w:eastAsia="zh-CN"/>
                    </w:rPr>
                    <w:t>备注</w:t>
                  </w:r>
                </w:p>
              </w:tc>
              <w:tc>
                <w:tcPr>
                  <w:tcW w:w="8110" w:type="dxa"/>
                  <w:gridSpan w:val="7"/>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left"/>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参照《大气污染物综合排放标准》（GB16297-1996）中表2中的排放限值要求</w:t>
                  </w:r>
                </w:p>
              </w:tc>
            </w:tr>
          </w:tbl>
          <w:p>
            <w:pPr>
              <w:jc w:val="both"/>
              <w:rPr>
                <w:rFonts w:hint="default"/>
                <w:lang w:eastAsia="zh-CN"/>
              </w:rPr>
            </w:pPr>
          </w:p>
          <w:p>
            <w:pPr>
              <w:pStyle w:val="2"/>
              <w:spacing w:line="360" w:lineRule="auto"/>
              <w:ind w:firstLine="560" w:firstLineChars="200"/>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由表1</w:t>
            </w:r>
            <w:r>
              <w:rPr>
                <w:rFonts w:hint="eastAsia" w:cs="Times New Roman"/>
                <w:sz w:val="28"/>
                <w:szCs w:val="28"/>
                <w:lang w:val="en-US" w:eastAsia="zh-CN"/>
              </w:rPr>
              <w:t>4</w:t>
            </w:r>
            <w:r>
              <w:rPr>
                <w:rFonts w:hint="default" w:ascii="Times New Roman" w:hAnsi="Times New Roman" w:eastAsia="宋体" w:cs="Times New Roman"/>
                <w:sz w:val="28"/>
                <w:szCs w:val="28"/>
                <w:lang w:eastAsia="zh-CN"/>
              </w:rPr>
              <w:t>监测结果可知，本项目营运期无组织废气排放</w:t>
            </w:r>
            <w:r>
              <w:rPr>
                <w:rFonts w:hint="eastAsia" w:cs="Times New Roman"/>
                <w:sz w:val="28"/>
                <w:szCs w:val="28"/>
                <w:lang w:val="en-US" w:eastAsia="zh-CN"/>
              </w:rPr>
              <w:t>颗粒物</w:t>
            </w:r>
            <w:r>
              <w:rPr>
                <w:rFonts w:hint="default" w:ascii="Times New Roman" w:hAnsi="Times New Roman" w:eastAsia="宋体" w:cs="Times New Roman"/>
                <w:sz w:val="28"/>
                <w:szCs w:val="28"/>
                <w:lang w:eastAsia="zh-CN"/>
              </w:rPr>
              <w:t>最大值为</w:t>
            </w:r>
            <w:r>
              <w:rPr>
                <w:rFonts w:hint="default" w:ascii="Times New Roman" w:hAnsi="Times New Roman" w:eastAsia="宋体" w:cs="Times New Roman"/>
                <w:sz w:val="28"/>
                <w:szCs w:val="28"/>
                <w:lang w:val="en-US" w:eastAsia="zh-CN"/>
              </w:rPr>
              <w:t>0.</w:t>
            </w:r>
            <w:r>
              <w:rPr>
                <w:rFonts w:hint="eastAsia" w:cs="Times New Roman"/>
                <w:sz w:val="28"/>
                <w:szCs w:val="28"/>
                <w:lang w:val="en-US" w:eastAsia="zh-CN"/>
              </w:rPr>
              <w:t>474</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w:t>
            </w:r>
            <w:r>
              <w:rPr>
                <w:rFonts w:hint="eastAsia" w:cs="Times New Roman"/>
                <w:sz w:val="28"/>
                <w:szCs w:val="28"/>
                <w:lang w:val="en-US" w:eastAsia="zh-CN"/>
              </w:rPr>
              <w:t>颗粒物</w:t>
            </w:r>
            <w:r>
              <w:rPr>
                <w:rFonts w:hint="default" w:ascii="Times New Roman" w:hAnsi="Times New Roman" w:eastAsia="宋体" w:cs="Times New Roman"/>
                <w:sz w:val="28"/>
                <w:szCs w:val="28"/>
                <w:lang w:eastAsia="zh-CN"/>
              </w:rPr>
              <w:t>符合</w:t>
            </w:r>
            <w:r>
              <w:rPr>
                <w:rFonts w:hint="eastAsia" w:ascii="Times New Roman" w:hAnsi="Times New Roman" w:eastAsia="宋体"/>
                <w:sz w:val="28"/>
                <w:szCs w:val="28"/>
                <w:vertAlign w:val="baseline"/>
                <w:lang w:val="en-US" w:eastAsia="zh-CN"/>
              </w:rPr>
              <w:t>《大气污染物综合排放标准》(GB16297-1996)表2对应排放标准</w:t>
            </w:r>
            <w:r>
              <w:rPr>
                <w:rFonts w:hint="default" w:ascii="Times New Roman" w:hAnsi="Times New Roman" w:eastAsia="宋体" w:cs="Times New Roman"/>
                <w:sz w:val="28"/>
                <w:szCs w:val="28"/>
                <w:lang w:val="en-US" w:eastAsia="zh-CN"/>
              </w:rPr>
              <w:t>。</w:t>
            </w:r>
          </w:p>
          <w:p>
            <w:pPr>
              <w:pStyle w:val="2"/>
              <w:numPr>
                <w:ilvl w:val="0"/>
                <w:numId w:val="0"/>
              </w:numPr>
              <w:spacing w:line="360" w:lineRule="auto"/>
              <w:ind w:left="240" w:leftChars="0" w:firstLine="281" w:firstLineChars="100"/>
              <w:jc w:val="both"/>
              <w:rPr>
                <w:rFonts w:hint="eastAsia" w:cs="Times New Roman"/>
                <w:b/>
                <w:bCs/>
                <w:sz w:val="28"/>
                <w:szCs w:val="28"/>
                <w:lang w:val="en-US" w:eastAsia="zh-CN"/>
              </w:rPr>
            </w:pPr>
            <w:r>
              <w:rPr>
                <w:rFonts w:hint="eastAsia" w:cs="Times New Roman"/>
                <w:b/>
                <w:bCs/>
                <w:sz w:val="28"/>
                <w:szCs w:val="28"/>
                <w:lang w:val="en-US" w:eastAsia="zh-CN"/>
              </w:rPr>
              <w:t>3、废水检测结果及评价</w:t>
            </w:r>
          </w:p>
          <w:p>
            <w:pPr>
              <w:pStyle w:val="2"/>
              <w:spacing w:line="360" w:lineRule="auto"/>
              <w:ind w:left="480" w:leftChars="200"/>
              <w:jc w:val="both"/>
              <w:rPr>
                <w:rFonts w:hint="eastAsia"/>
                <w:lang w:val="en-US" w:eastAsia="zh-CN"/>
              </w:rPr>
            </w:pPr>
            <w:r>
              <w:rPr>
                <w:rFonts w:hint="default" w:ascii="Times New Roman" w:hAnsi="Times New Roman" w:eastAsia="宋体" w:cs="Times New Roman"/>
                <w:sz w:val="28"/>
                <w:szCs w:val="28"/>
                <w:lang w:eastAsia="zh-CN"/>
              </w:rPr>
              <w:t>本次</w:t>
            </w:r>
            <w:r>
              <w:rPr>
                <w:rFonts w:hint="eastAsia" w:cs="Times New Roman"/>
                <w:sz w:val="28"/>
                <w:szCs w:val="28"/>
                <w:lang w:val="en-US" w:eastAsia="zh-CN"/>
              </w:rPr>
              <w:t>有</w:t>
            </w:r>
            <w:r>
              <w:rPr>
                <w:rFonts w:hint="default" w:ascii="Times New Roman" w:hAnsi="Times New Roman" w:eastAsia="宋体" w:cs="Times New Roman"/>
                <w:sz w:val="28"/>
                <w:szCs w:val="28"/>
                <w:lang w:eastAsia="zh-CN"/>
              </w:rPr>
              <w:t>组织废气污染物排放监测结果详见</w:t>
            </w:r>
            <w:r>
              <w:rPr>
                <w:rFonts w:hint="eastAsia" w:cs="Times New Roman"/>
                <w:sz w:val="28"/>
                <w:szCs w:val="28"/>
                <w:lang w:val="en-US" w:eastAsia="zh-CN"/>
              </w:rPr>
              <w:t>下</w:t>
            </w:r>
            <w:r>
              <w:rPr>
                <w:rFonts w:hint="default" w:ascii="Times New Roman" w:hAnsi="Times New Roman" w:eastAsia="宋体" w:cs="Times New Roman"/>
                <w:sz w:val="28"/>
                <w:szCs w:val="28"/>
                <w:lang w:eastAsia="zh-CN"/>
              </w:rPr>
              <w:t>表</w:t>
            </w:r>
            <w:r>
              <w:rPr>
                <w:rFonts w:hint="default" w:ascii="Times New Roman" w:hAnsi="Times New Roman" w:eastAsia="宋体" w:cs="Times New Roman"/>
                <w:sz w:val="28"/>
                <w:szCs w:val="28"/>
                <w:lang w:val="en-US" w:eastAsia="zh-CN"/>
              </w:rPr>
              <w:t>：</w:t>
            </w:r>
          </w:p>
          <w:p>
            <w:pPr>
              <w:pStyle w:val="36"/>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表1</w:t>
            </w:r>
            <w:r>
              <w:rPr>
                <w:rFonts w:hint="eastAsia" w:cs="Times New Roman"/>
                <w:b/>
                <w:bCs/>
                <w:sz w:val="24"/>
                <w:szCs w:val="24"/>
                <w:lang w:val="en-US" w:eastAsia="zh-CN"/>
              </w:rPr>
              <w:t>5</w:t>
            </w:r>
            <w:r>
              <w:rPr>
                <w:rFonts w:hint="default" w:ascii="Times New Roman" w:hAnsi="Times New Roman" w:eastAsia="宋体" w:cs="Times New Roman"/>
                <w:b/>
                <w:bCs/>
                <w:sz w:val="24"/>
                <w:szCs w:val="24"/>
                <w:lang w:eastAsia="zh-CN"/>
              </w:rPr>
              <w:t xml:space="preserve">  </w:t>
            </w:r>
            <w:r>
              <w:rPr>
                <w:rFonts w:hint="eastAsia" w:ascii="Times New Roman" w:hAnsi="Times New Roman" w:eastAsia="宋体" w:cs="Times New Roman"/>
                <w:b/>
                <w:bCs/>
                <w:sz w:val="24"/>
                <w:szCs w:val="24"/>
                <w:lang w:val="en-US" w:eastAsia="zh-CN"/>
              </w:rPr>
              <w:t>废水</w:t>
            </w:r>
            <w:r>
              <w:rPr>
                <w:rFonts w:hint="default" w:ascii="Times New Roman" w:hAnsi="Times New Roman" w:eastAsia="宋体" w:cs="Times New Roman"/>
                <w:b/>
                <w:bCs/>
                <w:sz w:val="24"/>
                <w:szCs w:val="24"/>
                <w:lang w:eastAsia="zh-CN"/>
              </w:rPr>
              <w:t>监测结果一览表</w:t>
            </w:r>
          </w:p>
          <w:tbl>
            <w:tblPr>
              <w:tblStyle w:val="20"/>
              <w:tblW w:w="940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autofit"/>
              <w:tblCellMar>
                <w:top w:w="0" w:type="dxa"/>
                <w:left w:w="108" w:type="dxa"/>
                <w:bottom w:w="0" w:type="dxa"/>
                <w:right w:w="108" w:type="dxa"/>
              </w:tblCellMar>
            </w:tblPr>
            <w:tblGrid>
              <w:gridCol w:w="1126"/>
              <w:gridCol w:w="1173"/>
              <w:gridCol w:w="1052"/>
              <w:gridCol w:w="1209"/>
              <w:gridCol w:w="1209"/>
              <w:gridCol w:w="1209"/>
              <w:gridCol w:w="1209"/>
              <w:gridCol w:w="1213"/>
            </w:tblGrid>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7" w:hRule="atLeast"/>
                <w:jc w:val="center"/>
              </w:trPr>
              <w:tc>
                <w:tcPr>
                  <w:tcW w:w="9400" w:type="dxa"/>
                  <w:gridSpan w:val="8"/>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（二）检测结果</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581" w:hRule="atLeast"/>
                <w:jc w:val="center"/>
              </w:trPr>
              <w:tc>
                <w:tcPr>
                  <w:tcW w:w="112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检测点位</w:t>
                  </w:r>
                </w:p>
              </w:tc>
              <w:tc>
                <w:tcPr>
                  <w:tcW w:w="117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检测时间</w:t>
                  </w: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频次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lang w:val="en-US" w:eastAsia="zh-CN"/>
                    </w:rPr>
                    <w:t>pH</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eastAsia="宋体" w:cs="Times New Roman"/>
                      <w:color w:val="000000"/>
                      <w:sz w:val="21"/>
                      <w:szCs w:val="21"/>
                      <w:lang w:val="en-US" w:eastAsia="zh-CN"/>
                    </w:rPr>
                    <w:t>悬浮物</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eastAsia="宋体" w:cs="Times New Roman"/>
                      <w:color w:val="000000"/>
                      <w:sz w:val="21"/>
                      <w:szCs w:val="21"/>
                      <w:lang w:val="en-US" w:eastAsia="zh-CN"/>
                    </w:rPr>
                    <w:t>化学需氧量</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eastAsia="宋体" w:cs="Times New Roman"/>
                      <w:color w:val="000000"/>
                      <w:sz w:val="21"/>
                      <w:szCs w:val="21"/>
                      <w:lang w:val="en-US" w:eastAsia="zh-CN"/>
                    </w:rPr>
                    <w:t>氨氮</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五日生化需氧量</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sz w:val="21"/>
                      <w:szCs w:val="21"/>
                      <w:lang w:val="en-US" w:eastAsia="zh-CN"/>
                    </w:rPr>
                    <w:t>化粪池进口S</w:t>
                  </w:r>
                  <w:r>
                    <w:rPr>
                      <w:rFonts w:hint="default" w:ascii="Times New Roman" w:hAnsi="Times New Roman" w:cs="Times New Roman"/>
                      <w:sz w:val="21"/>
                      <w:szCs w:val="21"/>
                      <w:vertAlign w:val="subscript"/>
                      <w:lang w:val="en-US" w:eastAsia="zh-CN"/>
                    </w:rPr>
                    <w:t>1</w:t>
                  </w:r>
                </w:p>
              </w:tc>
              <w:tc>
                <w:tcPr>
                  <w:tcW w:w="1173"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2021.10.27</w:t>
                  </w: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第一次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84</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54.3</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18.8</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第二次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7.83</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53.5</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第三次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7.78</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218</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87</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55.0</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19.1</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第四次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7.85</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215</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88</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54.1</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lang w:val="en-US" w:eastAsia="zh-CN" w:bidi="ar-SA"/>
                    </w:rPr>
                  </w:pPr>
                </w:p>
              </w:tc>
              <w:tc>
                <w:tcPr>
                  <w:tcW w:w="222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均值</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7.78~7.85</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average(E7:E10)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214</w:t>
                  </w:r>
                  <w:r>
                    <w:rPr>
                      <w:rFonts w:hint="eastAsia" w:ascii="Times New Roman" w:hAnsi="Times New Roman" w:cs="Times New Roman"/>
                      <w:sz w:val="21"/>
                      <w:szCs w:val="21"/>
                      <w:lang w:val="en-US" w:eastAsia="zh-CN"/>
                    </w:rPr>
                    <w:fldChar w:fldCharType="end"/>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average(F7:F10)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87</w:t>
                  </w:r>
                  <w:r>
                    <w:rPr>
                      <w:rFonts w:hint="eastAsia" w:ascii="Times New Roman" w:hAnsi="Times New Roman" w:cs="Times New Roman"/>
                      <w:sz w:val="21"/>
                      <w:szCs w:val="21"/>
                      <w:lang w:val="en-US" w:eastAsia="zh-CN"/>
                    </w:rPr>
                    <w:fldChar w:fldCharType="end"/>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average(G7:G10)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54.2</w:t>
                  </w:r>
                  <w:r>
                    <w:rPr>
                      <w:rFonts w:hint="eastAsia" w:ascii="Times New Roman" w:hAnsi="Times New Roman" w:cs="Times New Roman"/>
                      <w:sz w:val="21"/>
                      <w:szCs w:val="21"/>
                      <w:lang w:val="en-US" w:eastAsia="zh-CN"/>
                    </w:rPr>
                    <w:fldChar w:fldCharType="end"/>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average(H7:H10)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19.6</w:t>
                  </w:r>
                  <w:r>
                    <w:rPr>
                      <w:rFonts w:hint="eastAsia" w:ascii="Times New Roman" w:hAnsi="Times New Roman" w:cs="Times New Roman"/>
                      <w:sz w:val="21"/>
                      <w:szCs w:val="21"/>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2021.10.28</w:t>
                  </w: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第一次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7.84</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77</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57.8</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第二次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7.81</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205</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55.5</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第三次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7.86</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79</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56.6</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第四次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7.78</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218</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56.3</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21.7</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p>
              </w:tc>
              <w:tc>
                <w:tcPr>
                  <w:tcW w:w="222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均值</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7.78~7.86</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average(E13:E16)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211</w:t>
                  </w:r>
                  <w:r>
                    <w:rPr>
                      <w:rFonts w:hint="eastAsia" w:ascii="Times New Roman" w:hAnsi="Times New Roman" w:cs="Times New Roman"/>
                      <w:sz w:val="21"/>
                      <w:szCs w:val="21"/>
                      <w:lang w:val="en-US" w:eastAsia="zh-CN"/>
                    </w:rPr>
                    <w:fldChar w:fldCharType="end"/>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average(F13:F16)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79.5</w:t>
                  </w:r>
                  <w:r>
                    <w:rPr>
                      <w:rFonts w:hint="eastAsia" w:ascii="Times New Roman" w:hAnsi="Times New Roman" w:cs="Times New Roman"/>
                      <w:sz w:val="21"/>
                      <w:szCs w:val="21"/>
                      <w:lang w:val="en-US" w:eastAsia="zh-CN"/>
                    </w:rPr>
                    <w:fldChar w:fldCharType="end"/>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average(G13:G16)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56.6</w:t>
                  </w:r>
                  <w:r>
                    <w:rPr>
                      <w:rFonts w:hint="eastAsia" w:ascii="Times New Roman" w:hAnsi="Times New Roman" w:cs="Times New Roman"/>
                      <w:sz w:val="21"/>
                      <w:szCs w:val="21"/>
                      <w:lang w:val="en-US" w:eastAsia="zh-CN"/>
                    </w:rPr>
                    <w:fldChar w:fldCharType="end"/>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average(H13:H16)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22.0</w:t>
                  </w:r>
                  <w:r>
                    <w:rPr>
                      <w:rFonts w:hint="eastAsia" w:ascii="Times New Roman" w:hAnsi="Times New Roman" w:cs="Times New Roman"/>
                      <w:sz w:val="21"/>
                      <w:szCs w:val="21"/>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sz w:val="21"/>
                      <w:szCs w:val="21"/>
                      <w:lang w:val="en-US" w:eastAsia="zh-CN"/>
                    </w:rPr>
                    <w:t>化粪池出口S</w:t>
                  </w:r>
                  <w:r>
                    <w:rPr>
                      <w:rFonts w:hint="default" w:ascii="Times New Roman" w:hAnsi="Times New Roman" w:cs="Times New Roman"/>
                      <w:sz w:val="21"/>
                      <w:szCs w:val="21"/>
                      <w:vertAlign w:val="subscript"/>
                      <w:lang w:val="en-US" w:eastAsia="zh-CN"/>
                    </w:rPr>
                    <w:t>2</w:t>
                  </w:r>
                </w:p>
              </w:tc>
              <w:tc>
                <w:tcPr>
                  <w:tcW w:w="1173"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2021.10.27</w:t>
                  </w: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第一次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0.762</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第二次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7.45</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41</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0.754</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第三次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7.46</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0.775</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第四次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7.39</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44</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0.784</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p>
              </w:tc>
              <w:tc>
                <w:tcPr>
                  <w:tcW w:w="222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均值</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7.39~7.46</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average(E19:E22)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21</w:t>
                  </w:r>
                  <w:r>
                    <w:rPr>
                      <w:rFonts w:hint="eastAsia" w:ascii="Times New Roman" w:hAnsi="Times New Roman" w:cs="Times New Roman"/>
                      <w:sz w:val="21"/>
                      <w:szCs w:val="21"/>
                      <w:lang w:val="en-US" w:eastAsia="zh-CN"/>
                    </w:rPr>
                    <w:fldChar w:fldCharType="end"/>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average(F19:F22)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43</w:t>
                  </w:r>
                  <w:r>
                    <w:rPr>
                      <w:rFonts w:hint="eastAsia" w:ascii="Times New Roman" w:hAnsi="Times New Roman" w:cs="Times New Roman"/>
                      <w:sz w:val="21"/>
                      <w:szCs w:val="21"/>
                      <w:lang w:val="en-US" w:eastAsia="zh-CN"/>
                    </w:rPr>
                    <w:fldChar w:fldCharType="end"/>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average(G19:G22)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0.769</w:t>
                  </w:r>
                  <w:r>
                    <w:rPr>
                      <w:rFonts w:hint="eastAsia" w:ascii="Times New Roman" w:hAnsi="Times New Roman" w:cs="Times New Roman"/>
                      <w:sz w:val="21"/>
                      <w:szCs w:val="21"/>
                      <w:lang w:val="en-US" w:eastAsia="zh-CN"/>
                    </w:rPr>
                    <w:fldChar w:fldCharType="end"/>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average(H19:H22)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8.4</w:t>
                  </w:r>
                  <w:r>
                    <w:rPr>
                      <w:rFonts w:hint="eastAsia" w:ascii="Times New Roman" w:hAnsi="Times New Roman" w:cs="Times New Roman"/>
                      <w:sz w:val="21"/>
                      <w:szCs w:val="21"/>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2021.10.28</w:t>
                  </w: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第一次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7.52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34</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0.786</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第二次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7.49</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0.806</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第三次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7.47</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36</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0.763</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highlight w:val="none"/>
                      <w:lang w:val="en-US" w:eastAsia="zh-CN" w:bidi="ar-SA"/>
                    </w:rPr>
                  </w:pPr>
                </w:p>
              </w:tc>
              <w:tc>
                <w:tcPr>
                  <w:tcW w:w="1173"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105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第四次</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7.50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0.775</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p>
              </w:tc>
              <w:tc>
                <w:tcPr>
                  <w:tcW w:w="222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均值</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7.47~7.52</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average(E25:E28)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23</w:t>
                  </w:r>
                  <w:r>
                    <w:rPr>
                      <w:rFonts w:hint="eastAsia" w:ascii="Times New Roman" w:hAnsi="Times New Roman" w:cs="Times New Roman"/>
                      <w:sz w:val="21"/>
                      <w:szCs w:val="21"/>
                      <w:lang w:val="en-US" w:eastAsia="zh-CN"/>
                    </w:rPr>
                    <w:fldChar w:fldCharType="end"/>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average(F25:F28)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33.5</w:t>
                  </w:r>
                  <w:r>
                    <w:rPr>
                      <w:rFonts w:hint="eastAsia" w:ascii="Times New Roman" w:hAnsi="Times New Roman" w:cs="Times New Roman"/>
                      <w:sz w:val="21"/>
                      <w:szCs w:val="21"/>
                      <w:lang w:val="en-US" w:eastAsia="zh-CN"/>
                    </w:rPr>
                    <w:fldChar w:fldCharType="end"/>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average(G25:G28)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0.782</w:t>
                  </w:r>
                  <w:r>
                    <w:rPr>
                      <w:rFonts w:hint="eastAsia" w:ascii="Times New Roman" w:hAnsi="Times New Roman" w:cs="Times New Roman"/>
                      <w:sz w:val="21"/>
                      <w:szCs w:val="21"/>
                      <w:lang w:val="en-US" w:eastAsia="zh-CN"/>
                    </w:rPr>
                    <w:fldChar w:fldCharType="end"/>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 average(H25:H28) \* MERGEFORMAT </w:instrText>
                  </w:r>
                  <w:r>
                    <w:rPr>
                      <w:rFonts w:hint="eastAsia" w:ascii="Times New Roman" w:hAnsi="Times New Roman" w:cs="Times New Roman"/>
                      <w:sz w:val="21"/>
                      <w:szCs w:val="21"/>
                      <w:lang w:val="en-US" w:eastAsia="zh-CN"/>
                    </w:rPr>
                    <w:fldChar w:fldCharType="separate"/>
                  </w:r>
                  <w:r>
                    <w:rPr>
                      <w:rFonts w:hint="eastAsia" w:ascii="Times New Roman" w:hAnsi="Times New Roman" w:cs="Times New Roman"/>
                      <w:sz w:val="21"/>
                      <w:szCs w:val="21"/>
                      <w:lang w:val="en-US" w:eastAsia="zh-CN"/>
                    </w:rPr>
                    <w:t>10.8</w:t>
                  </w:r>
                  <w:r>
                    <w:rPr>
                      <w:rFonts w:hint="eastAsia" w:ascii="Times New Roman" w:hAnsi="Times New Roman" w:cs="Times New Roman"/>
                      <w:sz w:val="21"/>
                      <w:szCs w:val="21"/>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96" w:hRule="atLeast"/>
                <w:jc w:val="center"/>
              </w:trPr>
              <w:tc>
                <w:tcPr>
                  <w:tcW w:w="112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p>
              </w:tc>
              <w:tc>
                <w:tcPr>
                  <w:tcW w:w="2225"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限值</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sz w:val="21"/>
                      <w:szCs w:val="21"/>
                      <w:lang w:val="en-US" w:eastAsia="zh-CN"/>
                    </w:rPr>
                    <w:t>6~9</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500</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default" w:ascii="Times New Roman" w:hAnsi="Times New Roman" w:eastAsia="宋体" w:cs="Times New Roman"/>
                      <w:color w:val="auto"/>
                      <w:sz w:val="21"/>
                      <w:szCs w:val="21"/>
                    </w:rPr>
                    <w:t>/</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PrEx>
              <w:trPr>
                <w:trHeight w:val="296" w:hRule="atLeast"/>
                <w:jc w:val="center"/>
              </w:trPr>
              <w:tc>
                <w:tcPr>
                  <w:tcW w:w="3351" w:type="dxa"/>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单位</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sz w:val="21"/>
                      <w:szCs w:val="21"/>
                      <w:lang w:val="en-US" w:eastAsia="zh-CN"/>
                    </w:rPr>
                    <w:t>无量纲</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rPr>
                    <w:t>mg/L</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sz w:val="21"/>
                      <w:szCs w:val="21"/>
                    </w:rPr>
                    <w:t>mg/L</w:t>
                  </w:r>
                </w:p>
              </w:tc>
              <w:tc>
                <w:tcPr>
                  <w:tcW w:w="1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sz w:val="21"/>
                      <w:szCs w:val="21"/>
                      <w:lang w:val="en-US" w:eastAsia="zh-CN"/>
                    </w:rPr>
                  </w:pPr>
                  <w:r>
                    <w:rPr>
                      <w:rFonts w:hint="default" w:ascii="Times New Roman" w:hAnsi="Times New Roman" w:eastAsia="宋体" w:cs="Times New Roman"/>
                      <w:color w:val="auto"/>
                      <w:sz w:val="21"/>
                      <w:szCs w:val="21"/>
                    </w:rPr>
                    <w:t>mg/L</w:t>
                  </w:r>
                </w:p>
              </w:tc>
              <w:tc>
                <w:tcPr>
                  <w:tcW w:w="12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sz w:val="21"/>
                      <w:szCs w:val="21"/>
                      <w:lang w:val="en-US" w:eastAsia="zh-CN"/>
                    </w:rPr>
                  </w:pPr>
                  <w:r>
                    <w:rPr>
                      <w:rFonts w:hint="default" w:ascii="Times New Roman" w:hAnsi="Times New Roman" w:eastAsia="宋体" w:cs="Times New Roman"/>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57" w:hRule="atLeast"/>
                <w:jc w:val="center"/>
              </w:trPr>
              <w:tc>
                <w:tcPr>
                  <w:tcW w:w="112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备注</w:t>
                  </w:r>
                </w:p>
              </w:tc>
              <w:tc>
                <w:tcPr>
                  <w:tcW w:w="8274" w:type="dxa"/>
                  <w:gridSpan w:val="7"/>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参照《污水综合排放标准》GB8978-1996 表4中三级标准 一切排污单位</w:t>
                  </w:r>
                </w:p>
              </w:tc>
            </w:tr>
          </w:tbl>
          <w:p>
            <w:pPr>
              <w:pStyle w:val="36"/>
              <w:spacing w:before="156" w:beforeLines="50" w:after="156" w:afterLines="50"/>
              <w:jc w:val="both"/>
              <w:rPr>
                <w:rFonts w:hint="default" w:ascii="Times New Roman" w:hAnsi="Times New Roman" w:eastAsia="宋体" w:cs="Times New Roman"/>
                <w:b/>
                <w:bCs/>
                <w:sz w:val="24"/>
                <w:szCs w:val="24"/>
                <w:lang w:eastAsia="zh-CN"/>
              </w:rPr>
            </w:pPr>
          </w:p>
          <w:p>
            <w:pPr>
              <w:keepNext w:val="0"/>
              <w:keepLines w:val="0"/>
              <w:pageBreakBefore w:val="0"/>
              <w:widowControl w:val="0"/>
              <w:kinsoku/>
              <w:wordWrap/>
              <w:overflowPunct/>
              <w:topLinePunct w:val="0"/>
              <w:autoSpaceDE w:val="0"/>
              <w:autoSpaceDN w:val="0"/>
              <w:bidi w:val="0"/>
              <w:adjustRightInd/>
              <w:snapToGrid/>
              <w:ind w:firstLine="560" w:firstLineChars="200"/>
              <w:jc w:val="both"/>
              <w:textAlignment w:val="auto"/>
              <w:rPr>
                <w:rFonts w:hint="default"/>
                <w:lang w:val="en-US" w:eastAsia="zh-CN"/>
              </w:rPr>
            </w:pPr>
            <w:r>
              <w:rPr>
                <w:rFonts w:hint="eastAsia"/>
                <w:sz w:val="28"/>
                <w:szCs w:val="28"/>
                <w:lang w:val="en-US" w:eastAsia="zh-CN"/>
              </w:rPr>
              <w:t>由上表监测结果可知，验收期间生活废水排放口pH浓度范围7.39-7.52</w:t>
            </w:r>
            <w:r>
              <w:rPr>
                <w:rFonts w:hint="eastAsia" w:ascii="Times New Roman" w:hAnsi="Times New Roman" w:eastAsia="宋体"/>
                <w:sz w:val="28"/>
                <w:szCs w:val="28"/>
                <w:lang w:val="en-US" w:eastAsia="zh-CN"/>
              </w:rPr>
              <w:t>，COD最大</w:t>
            </w:r>
            <w:r>
              <w:rPr>
                <w:rFonts w:hint="eastAsia" w:ascii="Times New Roman" w:hAnsi="Times New Roman" w:eastAsia="宋体"/>
                <w:sz w:val="28"/>
                <w:szCs w:val="28"/>
                <w:vertAlign w:val="baseline"/>
                <w:lang w:val="en-US" w:eastAsia="zh-CN"/>
              </w:rPr>
              <w:t>排放浓度为</w:t>
            </w:r>
            <w:r>
              <w:rPr>
                <w:rFonts w:hint="eastAsia"/>
                <w:sz w:val="28"/>
                <w:szCs w:val="28"/>
                <w:vertAlign w:val="baseline"/>
                <w:lang w:val="en-US" w:eastAsia="zh-CN"/>
              </w:rPr>
              <w:t>45</w:t>
            </w:r>
            <w:r>
              <w:rPr>
                <w:rFonts w:hint="eastAsia" w:ascii="Times New Roman" w:hAnsi="Times New Roman" w:eastAsia="宋体"/>
                <w:sz w:val="28"/>
                <w:szCs w:val="28"/>
                <w:vertAlign w:val="baseline"/>
                <w:lang w:val="en-US" w:eastAsia="zh-CN"/>
              </w:rPr>
              <w:t>mg/L，</w:t>
            </w:r>
            <w:r>
              <w:rPr>
                <w:rFonts w:hint="eastAsia"/>
                <w:sz w:val="28"/>
                <w:szCs w:val="28"/>
                <w:vertAlign w:val="baseline"/>
                <w:lang w:val="en-US" w:eastAsia="zh-CN"/>
              </w:rPr>
              <w:t>氨氮</w:t>
            </w:r>
            <w:r>
              <w:rPr>
                <w:rFonts w:hint="eastAsia" w:ascii="Times New Roman" w:hAnsi="Times New Roman" w:eastAsia="宋体"/>
                <w:sz w:val="28"/>
                <w:szCs w:val="28"/>
                <w:vertAlign w:val="baseline"/>
                <w:lang w:val="en-US" w:eastAsia="zh-CN"/>
              </w:rPr>
              <w:t>最大排放浓度为0.</w:t>
            </w:r>
            <w:r>
              <w:rPr>
                <w:rFonts w:hint="eastAsia"/>
                <w:sz w:val="28"/>
                <w:szCs w:val="28"/>
                <w:vertAlign w:val="baseline"/>
                <w:lang w:val="en-US" w:eastAsia="zh-CN"/>
              </w:rPr>
              <w:t>806</w:t>
            </w:r>
            <w:r>
              <w:rPr>
                <w:rFonts w:hint="eastAsia" w:ascii="Times New Roman" w:hAnsi="Times New Roman" w:eastAsia="宋体"/>
                <w:sz w:val="28"/>
                <w:szCs w:val="28"/>
                <w:vertAlign w:val="baseline"/>
                <w:lang w:val="en-US" w:eastAsia="zh-CN"/>
              </w:rPr>
              <w:t>mg/L，悬浮物最大排放浓度为</w:t>
            </w:r>
            <w:r>
              <w:rPr>
                <w:rFonts w:hint="eastAsia"/>
                <w:sz w:val="28"/>
                <w:szCs w:val="28"/>
                <w:vertAlign w:val="baseline"/>
                <w:lang w:val="en-US" w:eastAsia="zh-CN"/>
              </w:rPr>
              <w:t>26</w:t>
            </w:r>
            <w:r>
              <w:rPr>
                <w:rFonts w:hint="eastAsia" w:ascii="Times New Roman" w:hAnsi="Times New Roman" w:eastAsia="宋体"/>
                <w:sz w:val="28"/>
                <w:szCs w:val="28"/>
                <w:vertAlign w:val="baseline"/>
                <w:lang w:val="en-US" w:eastAsia="zh-CN"/>
              </w:rPr>
              <w:t>mg/L，BOD</w:t>
            </w:r>
            <w:r>
              <w:rPr>
                <w:rFonts w:hint="eastAsia" w:ascii="Times New Roman" w:hAnsi="Times New Roman" w:eastAsia="宋体"/>
                <w:sz w:val="28"/>
                <w:szCs w:val="28"/>
                <w:vertAlign w:val="subscript"/>
                <w:lang w:val="en-US" w:eastAsia="zh-CN"/>
              </w:rPr>
              <w:t>5</w:t>
            </w:r>
            <w:r>
              <w:rPr>
                <w:rFonts w:hint="eastAsia" w:ascii="Times New Roman" w:hAnsi="Times New Roman" w:eastAsia="宋体"/>
                <w:sz w:val="28"/>
                <w:szCs w:val="28"/>
                <w:vertAlign w:val="baseline"/>
                <w:lang w:val="en-US" w:eastAsia="zh-CN"/>
              </w:rPr>
              <w:t>最大排放浓度为</w:t>
            </w:r>
            <w:r>
              <w:rPr>
                <w:rFonts w:hint="eastAsia" w:cs="Times New Roman"/>
                <w:color w:val="auto"/>
                <w:kern w:val="2"/>
                <w:sz w:val="28"/>
                <w:szCs w:val="28"/>
                <w:u w:val="none"/>
                <w:lang w:val="en-US" w:eastAsia="zh-CN" w:bidi="ar"/>
              </w:rPr>
              <w:t>11</w:t>
            </w:r>
            <w:r>
              <w:rPr>
                <w:rFonts w:hint="eastAsia" w:ascii="Times New Roman" w:hAnsi="Times New Roman" w:eastAsia="宋体" w:cs="Times New Roman"/>
                <w:color w:val="auto"/>
                <w:kern w:val="2"/>
                <w:sz w:val="28"/>
                <w:szCs w:val="28"/>
                <w:u w:val="none"/>
                <w:lang w:val="en-US" w:eastAsia="zh-CN" w:bidi="ar"/>
              </w:rPr>
              <w:t>.</w:t>
            </w:r>
            <w:r>
              <w:rPr>
                <w:rFonts w:hint="eastAsia" w:cs="Times New Roman"/>
                <w:color w:val="auto"/>
                <w:kern w:val="2"/>
                <w:sz w:val="28"/>
                <w:szCs w:val="28"/>
                <w:u w:val="none"/>
                <w:lang w:val="en-US" w:eastAsia="zh-CN" w:bidi="ar"/>
              </w:rPr>
              <w:t>2</w:t>
            </w:r>
            <w:r>
              <w:rPr>
                <w:rFonts w:hint="eastAsia" w:ascii="Times New Roman" w:hAnsi="Times New Roman" w:eastAsia="宋体"/>
                <w:sz w:val="28"/>
                <w:szCs w:val="28"/>
                <w:vertAlign w:val="baseline"/>
                <w:lang w:val="en-US" w:eastAsia="zh-CN"/>
              </w:rPr>
              <w:t>mg/L，总排口监测因子排放浓度均满足《污水综合排放标准(GB 8978-1996)》表4</w:t>
            </w:r>
            <w:r>
              <w:rPr>
                <w:rFonts w:hint="eastAsia"/>
                <w:sz w:val="28"/>
                <w:szCs w:val="28"/>
                <w:vertAlign w:val="baseline"/>
                <w:lang w:val="en-US" w:eastAsia="zh-CN"/>
              </w:rPr>
              <w:t>中</w:t>
            </w:r>
            <w:r>
              <w:rPr>
                <w:rFonts w:hint="eastAsia" w:ascii="Times New Roman" w:hAnsi="Times New Roman" w:eastAsia="宋体"/>
                <w:sz w:val="28"/>
                <w:szCs w:val="28"/>
                <w:vertAlign w:val="baseline"/>
                <w:lang w:val="en-US" w:eastAsia="zh-CN"/>
              </w:rPr>
              <w:t>三级标准。</w:t>
            </w:r>
          </w:p>
          <w:p>
            <w:pPr>
              <w:pStyle w:val="2"/>
              <w:numPr>
                <w:ilvl w:val="0"/>
                <w:numId w:val="0"/>
              </w:numPr>
              <w:spacing w:line="360" w:lineRule="auto"/>
              <w:ind w:firstLine="562" w:firstLineChars="200"/>
              <w:jc w:val="both"/>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4、</w:t>
            </w:r>
            <w:r>
              <w:rPr>
                <w:rFonts w:hint="default" w:ascii="Times New Roman" w:hAnsi="Times New Roman" w:eastAsia="宋体" w:cs="Times New Roman"/>
                <w:b/>
                <w:bCs/>
                <w:sz w:val="28"/>
                <w:szCs w:val="28"/>
                <w:lang w:eastAsia="zh-CN"/>
              </w:rPr>
              <w:t>噪声</w:t>
            </w:r>
            <w:r>
              <w:rPr>
                <w:rFonts w:hint="default" w:ascii="Times New Roman" w:hAnsi="Times New Roman" w:eastAsia="宋体" w:cs="Times New Roman"/>
                <w:b/>
                <w:bCs/>
                <w:sz w:val="28"/>
                <w:szCs w:val="28"/>
              </w:rPr>
              <w:t>监测结果及评价</w:t>
            </w:r>
          </w:p>
          <w:p>
            <w:pPr>
              <w:spacing w:line="360" w:lineRule="auto"/>
              <w:ind w:firstLine="48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本工程噪声监测结果详见表</w:t>
            </w:r>
            <w:r>
              <w:rPr>
                <w:rFonts w:hint="eastAsia" w:cs="Times New Roman"/>
                <w:sz w:val="28"/>
                <w:szCs w:val="28"/>
                <w:lang w:val="en-US" w:eastAsia="zh-CN"/>
              </w:rPr>
              <w:t>16</w:t>
            </w:r>
            <w:r>
              <w:rPr>
                <w:rFonts w:hint="default" w:ascii="Times New Roman" w:hAnsi="Times New Roman" w:eastAsia="宋体" w:cs="Times New Roman"/>
                <w:sz w:val="28"/>
                <w:szCs w:val="28"/>
                <w:lang w:eastAsia="zh-CN"/>
              </w:rPr>
              <w:t>：</w:t>
            </w:r>
          </w:p>
          <w:p>
            <w:pPr>
              <w:pStyle w:val="36"/>
              <w:spacing w:before="156" w:beforeLines="50" w:after="156" w:afterLines="5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cs="Times New Roman"/>
                <w:b/>
                <w:bCs/>
                <w:sz w:val="24"/>
                <w:szCs w:val="24"/>
                <w:lang w:val="en-US" w:eastAsia="zh-CN"/>
              </w:rPr>
              <w:t>16</w:t>
            </w:r>
            <w:r>
              <w:rPr>
                <w:rFonts w:hint="default" w:ascii="Times New Roman" w:hAnsi="Times New Roman" w:eastAsia="宋体" w:cs="Times New Roman"/>
                <w:b/>
                <w:bCs/>
                <w:sz w:val="24"/>
                <w:szCs w:val="24"/>
                <w:lang w:eastAsia="zh-CN"/>
              </w:rPr>
              <w:t xml:space="preserve">  厂界噪声监测结果一览表</w:t>
            </w:r>
          </w:p>
          <w:tbl>
            <w:tblPr>
              <w:tblStyle w:val="19"/>
              <w:tblW w:w="9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1215"/>
              <w:gridCol w:w="1117"/>
              <w:gridCol w:w="1155"/>
              <w:gridCol w:w="838"/>
              <w:gridCol w:w="1112"/>
              <w:gridCol w:w="1140"/>
              <w:gridCol w:w="882"/>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1" w:type="dxa"/>
                  <w:vMerge w:val="restart"/>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监测点位</w:t>
                  </w:r>
                </w:p>
              </w:tc>
              <w:tc>
                <w:tcPr>
                  <w:tcW w:w="1215" w:type="dxa"/>
                  <w:vMerge w:val="restart"/>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采样日期</w:t>
                  </w:r>
                </w:p>
              </w:tc>
              <w:tc>
                <w:tcPr>
                  <w:tcW w:w="3110" w:type="dxa"/>
                  <w:gridSpan w:val="3"/>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昼间</w:t>
                  </w:r>
                </w:p>
              </w:tc>
              <w:tc>
                <w:tcPr>
                  <w:tcW w:w="3134" w:type="dxa"/>
                  <w:gridSpan w:val="3"/>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夜间</w:t>
                  </w:r>
                </w:p>
              </w:tc>
              <w:tc>
                <w:tcPr>
                  <w:tcW w:w="866" w:type="dxa"/>
                  <w:vMerge w:val="restart"/>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1" w:type="dxa"/>
                  <w:vMerge w:val="continue"/>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215" w:type="dxa"/>
                  <w:vMerge w:val="continue"/>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117" w:type="dxa"/>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主要声源</w:t>
                  </w:r>
                </w:p>
              </w:tc>
              <w:tc>
                <w:tcPr>
                  <w:tcW w:w="1155" w:type="dxa"/>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监测结果</w:t>
                  </w:r>
                </w:p>
              </w:tc>
              <w:tc>
                <w:tcPr>
                  <w:tcW w:w="838" w:type="dxa"/>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限值</w:t>
                  </w:r>
                </w:p>
              </w:tc>
              <w:tc>
                <w:tcPr>
                  <w:tcW w:w="1112" w:type="dxa"/>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主要声源</w:t>
                  </w:r>
                </w:p>
              </w:tc>
              <w:tc>
                <w:tcPr>
                  <w:tcW w:w="1140" w:type="dxa"/>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监测结果</w:t>
                  </w:r>
                </w:p>
              </w:tc>
              <w:tc>
                <w:tcPr>
                  <w:tcW w:w="882" w:type="dxa"/>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限值</w:t>
                  </w:r>
                </w:p>
              </w:tc>
              <w:tc>
                <w:tcPr>
                  <w:tcW w:w="866" w:type="dxa"/>
                  <w:vMerge w:val="continue"/>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N</w:t>
                  </w:r>
                  <w:r>
                    <w:rPr>
                      <w:rFonts w:hint="eastAsia" w:ascii="Times New Roman" w:hAnsi="Times New Roman" w:eastAsia="宋体" w:cs="Times New Roman"/>
                      <w:color w:val="000000"/>
                      <w:sz w:val="21"/>
                      <w:szCs w:val="21"/>
                      <w:vertAlign w:val="subscript"/>
                      <w:lang w:val="en-US" w:eastAsia="zh-CN"/>
                    </w:rPr>
                    <w:t>1</w:t>
                  </w:r>
                </w:p>
              </w:tc>
              <w:tc>
                <w:tcPr>
                  <w:tcW w:w="1215"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2021.10.27</w:t>
                  </w:r>
                </w:p>
              </w:tc>
              <w:tc>
                <w:tcPr>
                  <w:tcW w:w="111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生产噪声</w:t>
                  </w:r>
                </w:p>
              </w:tc>
              <w:tc>
                <w:tcPr>
                  <w:tcW w:w="115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59</w:t>
                  </w:r>
                </w:p>
              </w:tc>
              <w:tc>
                <w:tcPr>
                  <w:tcW w:w="83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color w:val="000000"/>
                      <w:sz w:val="21"/>
                      <w:szCs w:val="21"/>
                      <w:lang w:val="en-US" w:eastAsia="zh-CN"/>
                    </w:rPr>
                    <w:t>65</w:t>
                  </w:r>
                </w:p>
              </w:tc>
              <w:tc>
                <w:tcPr>
                  <w:tcW w:w="111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生产噪声</w:t>
                  </w:r>
                </w:p>
              </w:tc>
              <w:tc>
                <w:tcPr>
                  <w:tcW w:w="114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48</w:t>
                  </w:r>
                </w:p>
              </w:tc>
              <w:tc>
                <w:tcPr>
                  <w:tcW w:w="88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kern w:val="2"/>
                      <w:sz w:val="21"/>
                      <w:szCs w:val="21"/>
                      <w:lang w:val="en-US" w:eastAsia="zh-CN" w:bidi="ar-SA"/>
                    </w:rPr>
                    <w:t>55</w:t>
                  </w:r>
                </w:p>
              </w:tc>
              <w:tc>
                <w:tcPr>
                  <w:tcW w:w="866"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N</w:t>
                  </w:r>
                  <w:r>
                    <w:rPr>
                      <w:rFonts w:hint="eastAsia" w:ascii="Times New Roman" w:hAnsi="Times New Roman" w:eastAsia="宋体" w:cs="Times New Roman"/>
                      <w:color w:val="000000"/>
                      <w:sz w:val="21"/>
                      <w:szCs w:val="21"/>
                      <w:vertAlign w:val="subscript"/>
                      <w:lang w:val="en-US" w:eastAsia="zh-CN"/>
                    </w:rPr>
                    <w:t>2</w:t>
                  </w:r>
                </w:p>
              </w:tc>
              <w:tc>
                <w:tcPr>
                  <w:tcW w:w="1215"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p>
              </w:tc>
              <w:tc>
                <w:tcPr>
                  <w:tcW w:w="111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5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61</w:t>
                  </w:r>
                </w:p>
              </w:tc>
              <w:tc>
                <w:tcPr>
                  <w:tcW w:w="83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00"/>
                      <w:sz w:val="21"/>
                      <w:szCs w:val="21"/>
                      <w:vertAlign w:val="baseline"/>
                      <w:lang w:val="en-US" w:eastAsia="zh-CN"/>
                    </w:rPr>
                  </w:pPr>
                </w:p>
              </w:tc>
              <w:tc>
                <w:tcPr>
                  <w:tcW w:w="11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p>
              </w:tc>
              <w:tc>
                <w:tcPr>
                  <w:tcW w:w="1140" w:type="dxa"/>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49</w:t>
                  </w:r>
                </w:p>
              </w:tc>
              <w:tc>
                <w:tcPr>
                  <w:tcW w:w="88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866" w:type="dxa"/>
                  <w:vMerge w:val="continue"/>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N</w:t>
                  </w:r>
                  <w:r>
                    <w:rPr>
                      <w:rFonts w:hint="eastAsia" w:ascii="Times New Roman" w:hAnsi="Times New Roman" w:eastAsia="宋体" w:cs="Times New Roman"/>
                      <w:color w:val="000000"/>
                      <w:sz w:val="21"/>
                      <w:szCs w:val="21"/>
                      <w:vertAlign w:val="subscript"/>
                      <w:lang w:val="en-US" w:eastAsia="zh-CN"/>
                    </w:rPr>
                    <w:t>3</w:t>
                  </w:r>
                </w:p>
              </w:tc>
              <w:tc>
                <w:tcPr>
                  <w:tcW w:w="1215"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p>
              </w:tc>
              <w:tc>
                <w:tcPr>
                  <w:tcW w:w="111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5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59</w:t>
                  </w:r>
                </w:p>
              </w:tc>
              <w:tc>
                <w:tcPr>
                  <w:tcW w:w="83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000000"/>
                      <w:sz w:val="21"/>
                      <w:szCs w:val="21"/>
                      <w:vertAlign w:val="baseline"/>
                      <w:lang w:val="en-US" w:eastAsia="zh-CN"/>
                    </w:rPr>
                  </w:pPr>
                </w:p>
              </w:tc>
              <w:tc>
                <w:tcPr>
                  <w:tcW w:w="11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rPr>
                  </w:pPr>
                </w:p>
              </w:tc>
              <w:tc>
                <w:tcPr>
                  <w:tcW w:w="1140" w:type="dxa"/>
                  <w:tcBorders>
                    <w:tl2br w:val="nil"/>
                    <w:tr2bl w:val="nil"/>
                  </w:tcBorders>
                  <w:noWrap w:val="0"/>
                  <w:vAlign w:val="center"/>
                </w:tcPr>
                <w:p>
                  <w:pPr>
                    <w:keepNext w:val="0"/>
                    <w:keepLines w:val="0"/>
                    <w:widowControl w:val="0"/>
                    <w:suppressLineNumbers w:val="0"/>
                    <w:overflowPunct/>
                    <w:autoSpaceDE/>
                    <w:autoSpaceDN/>
                    <w:adjustRightIn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47</w:t>
                  </w:r>
                </w:p>
              </w:tc>
              <w:tc>
                <w:tcPr>
                  <w:tcW w:w="88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8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N</w:t>
                  </w:r>
                  <w:r>
                    <w:rPr>
                      <w:rFonts w:hint="eastAsia" w:ascii="Times New Roman" w:hAnsi="Times New Roman" w:eastAsia="宋体" w:cs="Times New Roman"/>
                      <w:color w:val="000000"/>
                      <w:sz w:val="21"/>
                      <w:szCs w:val="21"/>
                      <w:vertAlign w:val="subscript"/>
                      <w:lang w:val="en-US" w:eastAsia="zh-CN"/>
                    </w:rPr>
                    <w:t>4</w:t>
                  </w:r>
                </w:p>
              </w:tc>
              <w:tc>
                <w:tcPr>
                  <w:tcW w:w="1215"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p>
              </w:tc>
              <w:tc>
                <w:tcPr>
                  <w:tcW w:w="111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5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57</w:t>
                  </w:r>
                </w:p>
              </w:tc>
              <w:tc>
                <w:tcPr>
                  <w:tcW w:w="83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4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46</w:t>
                  </w:r>
                </w:p>
              </w:tc>
              <w:tc>
                <w:tcPr>
                  <w:tcW w:w="88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8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N</w:t>
                  </w:r>
                  <w:r>
                    <w:rPr>
                      <w:rFonts w:hint="eastAsia" w:ascii="Times New Roman" w:hAnsi="Times New Roman" w:eastAsia="宋体" w:cs="Times New Roman"/>
                      <w:color w:val="000000"/>
                      <w:sz w:val="21"/>
                      <w:szCs w:val="21"/>
                      <w:vertAlign w:val="subscript"/>
                      <w:lang w:val="en-US" w:eastAsia="zh-CN"/>
                    </w:rPr>
                    <w:t>1</w:t>
                  </w:r>
                </w:p>
              </w:tc>
              <w:tc>
                <w:tcPr>
                  <w:tcW w:w="1215"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2021.10.28</w:t>
                  </w:r>
                </w:p>
              </w:tc>
              <w:tc>
                <w:tcPr>
                  <w:tcW w:w="111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5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56</w:t>
                  </w:r>
                </w:p>
              </w:tc>
              <w:tc>
                <w:tcPr>
                  <w:tcW w:w="83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4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47</w:t>
                  </w:r>
                </w:p>
              </w:tc>
              <w:tc>
                <w:tcPr>
                  <w:tcW w:w="88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8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9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N</w:t>
                  </w:r>
                  <w:r>
                    <w:rPr>
                      <w:rFonts w:hint="eastAsia" w:ascii="Times New Roman" w:hAnsi="Times New Roman" w:eastAsia="宋体" w:cs="Times New Roman"/>
                      <w:color w:val="000000"/>
                      <w:sz w:val="21"/>
                      <w:szCs w:val="21"/>
                      <w:vertAlign w:val="subscript"/>
                      <w:lang w:val="en-US" w:eastAsia="zh-CN"/>
                    </w:rPr>
                    <w:t>2</w:t>
                  </w:r>
                </w:p>
              </w:tc>
              <w:tc>
                <w:tcPr>
                  <w:tcW w:w="1215"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p>
              </w:tc>
              <w:tc>
                <w:tcPr>
                  <w:tcW w:w="111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5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60</w:t>
                  </w:r>
                </w:p>
              </w:tc>
              <w:tc>
                <w:tcPr>
                  <w:tcW w:w="83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4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48</w:t>
                  </w:r>
                </w:p>
              </w:tc>
              <w:tc>
                <w:tcPr>
                  <w:tcW w:w="88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8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N</w:t>
                  </w:r>
                  <w:r>
                    <w:rPr>
                      <w:rFonts w:hint="eastAsia" w:ascii="Times New Roman" w:hAnsi="Times New Roman" w:eastAsia="宋体" w:cs="Times New Roman"/>
                      <w:color w:val="000000"/>
                      <w:sz w:val="21"/>
                      <w:szCs w:val="21"/>
                      <w:vertAlign w:val="subscript"/>
                      <w:lang w:val="en-US" w:eastAsia="zh-CN"/>
                    </w:rPr>
                    <w:t>3</w:t>
                  </w:r>
                </w:p>
              </w:tc>
              <w:tc>
                <w:tcPr>
                  <w:tcW w:w="1215"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p>
              </w:tc>
              <w:tc>
                <w:tcPr>
                  <w:tcW w:w="111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5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58</w:t>
                  </w:r>
                </w:p>
              </w:tc>
              <w:tc>
                <w:tcPr>
                  <w:tcW w:w="83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4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48</w:t>
                  </w:r>
                </w:p>
              </w:tc>
              <w:tc>
                <w:tcPr>
                  <w:tcW w:w="88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8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N</w:t>
                  </w:r>
                  <w:r>
                    <w:rPr>
                      <w:rFonts w:hint="eastAsia" w:ascii="Times New Roman" w:hAnsi="Times New Roman" w:eastAsia="宋体" w:cs="Times New Roman"/>
                      <w:color w:val="000000"/>
                      <w:sz w:val="21"/>
                      <w:szCs w:val="21"/>
                      <w:vertAlign w:val="subscript"/>
                      <w:lang w:val="en-US" w:eastAsia="zh-CN"/>
                    </w:rPr>
                    <w:t>4</w:t>
                  </w:r>
                </w:p>
              </w:tc>
              <w:tc>
                <w:tcPr>
                  <w:tcW w:w="1215"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p>
              </w:tc>
              <w:tc>
                <w:tcPr>
                  <w:tcW w:w="111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55"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56</w:t>
                  </w:r>
                </w:p>
              </w:tc>
              <w:tc>
                <w:tcPr>
                  <w:tcW w:w="83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1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1140"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46</w:t>
                  </w:r>
                </w:p>
              </w:tc>
              <w:tc>
                <w:tcPr>
                  <w:tcW w:w="88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c>
                <w:tcPr>
                  <w:tcW w:w="8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9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备注</w:t>
                  </w:r>
                </w:p>
              </w:tc>
              <w:tc>
                <w:tcPr>
                  <w:tcW w:w="8325" w:type="dxa"/>
                  <w:gridSpan w:val="8"/>
                  <w:tcBorders>
                    <w:tl2br w:val="nil"/>
                    <w:tr2bl w:val="nil"/>
                  </w:tcBorders>
                  <w:noWrap w:val="0"/>
                  <w:vAlign w:val="center"/>
                </w:tcPr>
                <w:p>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sz w:val="21"/>
                      <w:szCs w:val="21"/>
                      <w:lang w:val="en-US" w:eastAsia="zh-CN"/>
                    </w:rPr>
                    <w:t>参照《工业企业厂界环境噪声排放标准》GB12348-2008）表 1（3 类）限值</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由表</w:t>
            </w:r>
            <w:r>
              <w:rPr>
                <w:rFonts w:hint="eastAsia" w:cs="Times New Roman"/>
                <w:sz w:val="28"/>
                <w:szCs w:val="28"/>
                <w:lang w:val="en-US" w:eastAsia="zh-CN"/>
              </w:rPr>
              <w:t>17</w:t>
            </w:r>
            <w:r>
              <w:rPr>
                <w:rFonts w:hint="default" w:ascii="Times New Roman" w:hAnsi="Times New Roman" w:eastAsia="宋体" w:cs="Times New Roman"/>
                <w:sz w:val="28"/>
                <w:szCs w:val="28"/>
                <w:lang w:eastAsia="zh-CN"/>
              </w:rPr>
              <w:t>可知，本项目</w:t>
            </w:r>
            <w:r>
              <w:rPr>
                <w:rFonts w:hint="eastAsia" w:cs="Times New Roman"/>
                <w:sz w:val="28"/>
                <w:szCs w:val="28"/>
                <w:lang w:val="en-US" w:eastAsia="zh-CN"/>
              </w:rPr>
              <w:t>四周</w:t>
            </w:r>
            <w:r>
              <w:rPr>
                <w:rFonts w:hint="default" w:ascii="Times New Roman" w:hAnsi="Times New Roman" w:eastAsia="宋体" w:cs="Times New Roman"/>
                <w:sz w:val="28"/>
                <w:szCs w:val="28"/>
                <w:lang w:eastAsia="zh-CN"/>
              </w:rPr>
              <w:t>验收期间昼间最大噪声值为</w:t>
            </w:r>
            <w:r>
              <w:rPr>
                <w:rFonts w:hint="eastAsia" w:cs="Times New Roman"/>
                <w:sz w:val="28"/>
                <w:szCs w:val="28"/>
                <w:lang w:val="en-US" w:eastAsia="zh-CN"/>
              </w:rPr>
              <w:t>61</w:t>
            </w:r>
            <w:r>
              <w:rPr>
                <w:rFonts w:hint="default" w:ascii="Times New Roman" w:hAnsi="Times New Roman" w:eastAsia="宋体" w:cs="Times New Roman"/>
                <w:sz w:val="28"/>
                <w:szCs w:val="28"/>
                <w:lang w:eastAsia="zh-CN"/>
              </w:rPr>
              <w:t>dB(A)，夜间最大噪声值为</w:t>
            </w:r>
            <w:r>
              <w:rPr>
                <w:rFonts w:hint="eastAsia" w:cs="Times New Roman"/>
                <w:sz w:val="28"/>
                <w:szCs w:val="28"/>
                <w:lang w:val="en-US" w:eastAsia="zh-CN"/>
              </w:rPr>
              <w:t>49</w:t>
            </w:r>
            <w:r>
              <w:rPr>
                <w:rFonts w:hint="default" w:ascii="Times New Roman" w:hAnsi="Times New Roman" w:eastAsia="宋体" w:cs="Times New Roman"/>
                <w:sz w:val="28"/>
                <w:szCs w:val="28"/>
                <w:lang w:eastAsia="zh-CN"/>
              </w:rPr>
              <w:t>dB(A)，能达到</w:t>
            </w:r>
            <w:r>
              <w:rPr>
                <w:rFonts w:hint="default" w:ascii="Times New Roman" w:hAnsi="Times New Roman" w:eastAsia="宋体" w:cs="Times New Roman"/>
                <w:sz w:val="28"/>
                <w:szCs w:val="28"/>
                <w:lang w:val="en-US" w:eastAsia="zh-CN"/>
              </w:rPr>
              <w:t>《工业企业厂界环境噪声排放标准》（GB 12348-2008）</w:t>
            </w:r>
            <w:r>
              <w:rPr>
                <w:rFonts w:hint="eastAsia" w:cs="Times New Roman"/>
                <w:sz w:val="28"/>
                <w:szCs w:val="28"/>
                <w:lang w:val="en-US" w:eastAsia="zh-CN"/>
              </w:rPr>
              <w:t>中3</w:t>
            </w:r>
            <w:r>
              <w:rPr>
                <w:rFonts w:hint="default" w:ascii="Times New Roman" w:hAnsi="Times New Roman" w:eastAsia="宋体" w:cs="Times New Roman"/>
                <w:sz w:val="28"/>
                <w:szCs w:val="28"/>
                <w:lang w:val="en-US" w:eastAsia="zh-CN"/>
              </w:rPr>
              <w:t>类标准。</w:t>
            </w:r>
          </w:p>
          <w:p>
            <w:pPr>
              <w:pStyle w:val="32"/>
              <w:keepNext w:val="0"/>
              <w:keepLines w:val="0"/>
              <w:pageBreakBefore w:val="0"/>
              <w:widowControl w:val="0"/>
              <w:kinsoku/>
              <w:wordWrap/>
              <w:overflowPunct/>
              <w:topLinePunct w:val="0"/>
              <w:autoSpaceDE w:val="0"/>
              <w:autoSpaceDN w:val="0"/>
              <w:bidi w:val="0"/>
              <w:adjustRightInd w:val="0"/>
              <w:snapToGrid/>
              <w:spacing w:line="360" w:lineRule="auto"/>
              <w:ind w:firstLine="562" w:firstLineChars="200"/>
              <w:jc w:val="both"/>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5、总量控制指标</w:t>
            </w:r>
          </w:p>
          <w:p>
            <w:pPr>
              <w:pStyle w:val="32"/>
              <w:keepNext w:val="0"/>
              <w:keepLines w:val="0"/>
              <w:pageBreakBefore w:val="0"/>
              <w:widowControl w:val="0"/>
              <w:kinsoku/>
              <w:wordWrap/>
              <w:overflowPunct/>
              <w:topLinePunct w:val="0"/>
              <w:autoSpaceDE w:val="0"/>
              <w:autoSpaceDN w:val="0"/>
              <w:bidi w:val="0"/>
              <w:snapToGrid/>
              <w:spacing w:line="360" w:lineRule="auto"/>
              <w:ind w:firstLine="56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8"/>
                <w:szCs w:val="28"/>
                <w:lang w:eastAsia="zh-CN"/>
              </w:rPr>
              <w:t>本项</w:t>
            </w:r>
            <w:r>
              <w:rPr>
                <w:rFonts w:hint="eastAsia" w:ascii="Times New Roman" w:hAnsi="Times New Roman" w:cs="Times New Roman"/>
                <w:sz w:val="28"/>
                <w:szCs w:val="28"/>
                <w:lang w:val="en-US" w:eastAsia="zh-CN"/>
              </w:rPr>
              <w:t>营运期无总量控制指标。</w:t>
            </w:r>
          </w:p>
        </w:tc>
      </w:tr>
    </w:tbl>
    <w:p>
      <w:pPr>
        <w:widowControl/>
        <w:autoSpaceDE/>
        <w:autoSpaceDN/>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eastAsia="zh-CN"/>
        </w:rPr>
        <w:t>表八</w:t>
      </w:r>
    </w:p>
    <w:tbl>
      <w:tblPr>
        <w:tblStyle w:val="20"/>
        <w:tblW w:w="9303"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303"/>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2990" w:hRule="atLeast"/>
          <w:jc w:val="center"/>
        </w:trPr>
        <w:tc>
          <w:tcPr>
            <w:tcW w:w="9303" w:type="dxa"/>
            <w:tcBorders>
              <w:tl2br w:val="nil"/>
              <w:tr2bl w:val="nil"/>
            </w:tcBorders>
          </w:tcPr>
          <w:p>
            <w:pPr>
              <w:pStyle w:val="2"/>
              <w:spacing w:line="360" w:lineRule="auto"/>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eastAsia="zh-CN"/>
              </w:rPr>
              <w:t>验收监测结论：</w:t>
            </w:r>
          </w:p>
          <w:p>
            <w:pPr>
              <w:pStyle w:val="2"/>
              <w:spacing w:line="360" w:lineRule="auto"/>
              <w:ind w:firstLine="562" w:firstLineChars="200"/>
              <w:jc w:val="both"/>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1、验收监测达标情况</w:t>
            </w:r>
          </w:p>
          <w:p>
            <w:pPr>
              <w:pStyle w:val="2"/>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废气</w:t>
            </w:r>
          </w:p>
          <w:p>
            <w:pPr>
              <w:pStyle w:val="2"/>
              <w:spacing w:line="360" w:lineRule="auto"/>
              <w:ind w:firstLine="560" w:firstLineChars="200"/>
              <w:jc w:val="both"/>
              <w:rPr>
                <w:rFonts w:hint="eastAsia" w:ascii="Times New Roman" w:hAnsi="Times New Roman" w:eastAsia="宋体"/>
                <w:sz w:val="28"/>
                <w:szCs w:val="28"/>
                <w:vertAlign w:val="baseline"/>
                <w:lang w:val="en-US" w:eastAsia="zh-CN"/>
              </w:rPr>
            </w:pPr>
            <w:r>
              <w:rPr>
                <w:rFonts w:hint="default" w:ascii="Times New Roman" w:hAnsi="Times New Roman" w:eastAsia="宋体" w:cs="Times New Roman"/>
                <w:sz w:val="28"/>
                <w:szCs w:val="28"/>
                <w:lang w:eastAsia="zh-CN"/>
              </w:rPr>
              <w:t>本项目验收期间</w:t>
            </w:r>
            <w:r>
              <w:rPr>
                <w:rFonts w:hint="eastAsia" w:cs="Times New Roman"/>
                <w:sz w:val="28"/>
                <w:szCs w:val="28"/>
                <w:lang w:eastAsia="zh-CN"/>
              </w:rPr>
              <w:t>，</w:t>
            </w:r>
            <w:r>
              <w:rPr>
                <w:rFonts w:hint="default" w:ascii="Times New Roman" w:hAnsi="Times New Roman" w:eastAsia="宋体" w:cs="Times New Roman"/>
                <w:sz w:val="28"/>
                <w:szCs w:val="28"/>
                <w:lang w:eastAsia="zh-CN"/>
              </w:rPr>
              <w:t>无组织废气排放</w:t>
            </w:r>
            <w:r>
              <w:rPr>
                <w:rFonts w:hint="eastAsia" w:cs="Times New Roman"/>
                <w:sz w:val="28"/>
                <w:szCs w:val="28"/>
                <w:lang w:val="en-US" w:eastAsia="zh-CN"/>
              </w:rPr>
              <w:t>颗粒物</w:t>
            </w:r>
            <w:r>
              <w:rPr>
                <w:rFonts w:hint="default" w:ascii="Times New Roman" w:hAnsi="Times New Roman" w:eastAsia="宋体" w:cs="Times New Roman"/>
                <w:sz w:val="28"/>
                <w:szCs w:val="28"/>
                <w:lang w:eastAsia="zh-CN"/>
              </w:rPr>
              <w:t>最大值为</w:t>
            </w:r>
            <w:r>
              <w:rPr>
                <w:rFonts w:hint="default" w:ascii="Times New Roman" w:hAnsi="Times New Roman" w:eastAsia="宋体" w:cs="Times New Roman"/>
                <w:sz w:val="28"/>
                <w:szCs w:val="28"/>
                <w:lang w:val="en-US" w:eastAsia="zh-CN"/>
              </w:rPr>
              <w:t>0.</w:t>
            </w:r>
            <w:r>
              <w:rPr>
                <w:rFonts w:hint="eastAsia" w:cs="Times New Roman"/>
                <w:sz w:val="28"/>
                <w:szCs w:val="28"/>
                <w:lang w:val="en-US" w:eastAsia="zh-CN"/>
              </w:rPr>
              <w:t>474</w:t>
            </w:r>
            <w:r>
              <w:rPr>
                <w:rFonts w:hint="default" w:ascii="Times New Roman" w:hAnsi="Times New Roman" w:eastAsia="宋体" w:cs="Times New Roman"/>
                <w:sz w:val="28"/>
                <w:szCs w:val="28"/>
                <w:lang w:eastAsia="zh-CN"/>
              </w:rPr>
              <w:t>mg/m</w:t>
            </w:r>
            <w:r>
              <w:rPr>
                <w:rFonts w:hint="default" w:ascii="Times New Roman" w:hAnsi="Times New Roman" w:eastAsia="宋体" w:cs="Times New Roman"/>
                <w:sz w:val="28"/>
                <w:szCs w:val="28"/>
                <w:vertAlign w:val="superscript"/>
                <w:lang w:eastAsia="zh-CN"/>
              </w:rPr>
              <w:t>3</w:t>
            </w:r>
            <w:r>
              <w:rPr>
                <w:rFonts w:hint="default" w:ascii="Times New Roman" w:hAnsi="Times New Roman" w:eastAsia="宋体" w:cs="Times New Roman"/>
                <w:sz w:val="28"/>
                <w:szCs w:val="28"/>
                <w:lang w:eastAsia="zh-CN"/>
              </w:rPr>
              <w:t>，</w:t>
            </w:r>
            <w:r>
              <w:rPr>
                <w:rFonts w:hint="eastAsia" w:cs="Times New Roman"/>
                <w:sz w:val="28"/>
                <w:szCs w:val="28"/>
                <w:lang w:val="en-US" w:eastAsia="zh-CN"/>
              </w:rPr>
              <w:t>颗粒物</w:t>
            </w:r>
            <w:r>
              <w:rPr>
                <w:rFonts w:hint="default" w:ascii="Times New Roman" w:hAnsi="Times New Roman" w:eastAsia="宋体" w:cs="Times New Roman"/>
                <w:sz w:val="28"/>
                <w:szCs w:val="28"/>
                <w:lang w:eastAsia="zh-CN"/>
              </w:rPr>
              <w:t>符合</w:t>
            </w:r>
            <w:r>
              <w:rPr>
                <w:rFonts w:hint="eastAsia" w:ascii="Times New Roman" w:hAnsi="Times New Roman" w:eastAsia="宋体"/>
                <w:sz w:val="28"/>
                <w:szCs w:val="28"/>
                <w:vertAlign w:val="baseline"/>
                <w:lang w:val="en-US" w:eastAsia="zh-CN"/>
              </w:rPr>
              <w:t>《大气污染物综合排放标准》(GB16297-1996)表2对应排放标准</w:t>
            </w:r>
            <w:r>
              <w:rPr>
                <w:rFonts w:hint="default" w:ascii="Times New Roman" w:hAnsi="Times New Roman" w:eastAsia="宋体" w:cs="Times New Roman"/>
                <w:sz w:val="28"/>
                <w:szCs w:val="28"/>
                <w:lang w:val="en-US" w:eastAsia="zh-CN"/>
              </w:rPr>
              <w:t>。</w:t>
            </w: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560" w:firstLineChars="200"/>
              <w:jc w:val="both"/>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废水</w:t>
            </w:r>
          </w:p>
          <w:p>
            <w:pPr>
              <w:pStyle w:val="2"/>
              <w:spacing w:line="360" w:lineRule="auto"/>
              <w:ind w:firstLine="560" w:firstLineChars="200"/>
              <w:jc w:val="both"/>
              <w:rPr>
                <w:rFonts w:hint="default" w:ascii="Times New Roman" w:hAnsi="Times New Roman" w:eastAsia="宋体"/>
                <w:sz w:val="28"/>
                <w:szCs w:val="28"/>
                <w:vertAlign w:val="baseline"/>
                <w:lang w:val="en-US" w:eastAsia="zh-CN"/>
              </w:rPr>
            </w:pPr>
            <w:r>
              <w:rPr>
                <w:rFonts w:hint="eastAsia"/>
                <w:sz w:val="28"/>
                <w:szCs w:val="28"/>
                <w:lang w:val="en-US" w:eastAsia="zh-CN"/>
              </w:rPr>
              <w:t>验收期间生活废水排放口pH浓度范围7.39-7.52</w:t>
            </w:r>
            <w:r>
              <w:rPr>
                <w:rFonts w:hint="eastAsia" w:ascii="Times New Roman" w:hAnsi="Times New Roman" w:eastAsia="宋体"/>
                <w:sz w:val="28"/>
                <w:szCs w:val="28"/>
                <w:lang w:val="en-US" w:eastAsia="zh-CN"/>
              </w:rPr>
              <w:t>，COD最大</w:t>
            </w:r>
            <w:r>
              <w:rPr>
                <w:rFonts w:hint="eastAsia" w:ascii="Times New Roman" w:hAnsi="Times New Roman" w:eastAsia="宋体"/>
                <w:sz w:val="28"/>
                <w:szCs w:val="28"/>
                <w:vertAlign w:val="baseline"/>
                <w:lang w:val="en-US" w:eastAsia="zh-CN"/>
              </w:rPr>
              <w:t>排放浓度为</w:t>
            </w:r>
            <w:r>
              <w:rPr>
                <w:rFonts w:hint="eastAsia"/>
                <w:sz w:val="28"/>
                <w:szCs w:val="28"/>
                <w:vertAlign w:val="baseline"/>
                <w:lang w:val="en-US" w:eastAsia="zh-CN"/>
              </w:rPr>
              <w:t>45</w:t>
            </w:r>
            <w:r>
              <w:rPr>
                <w:rFonts w:hint="eastAsia" w:ascii="Times New Roman" w:hAnsi="Times New Roman" w:eastAsia="宋体"/>
                <w:sz w:val="28"/>
                <w:szCs w:val="28"/>
                <w:vertAlign w:val="baseline"/>
                <w:lang w:val="en-US" w:eastAsia="zh-CN"/>
              </w:rPr>
              <w:t>mg/L，</w:t>
            </w:r>
            <w:r>
              <w:rPr>
                <w:rFonts w:hint="eastAsia"/>
                <w:sz w:val="28"/>
                <w:szCs w:val="28"/>
                <w:vertAlign w:val="baseline"/>
                <w:lang w:val="en-US" w:eastAsia="zh-CN"/>
              </w:rPr>
              <w:t>氨氮</w:t>
            </w:r>
            <w:r>
              <w:rPr>
                <w:rFonts w:hint="eastAsia" w:ascii="Times New Roman" w:hAnsi="Times New Roman" w:eastAsia="宋体"/>
                <w:sz w:val="28"/>
                <w:szCs w:val="28"/>
                <w:vertAlign w:val="baseline"/>
                <w:lang w:val="en-US" w:eastAsia="zh-CN"/>
              </w:rPr>
              <w:t>最大排放浓度为0.</w:t>
            </w:r>
            <w:r>
              <w:rPr>
                <w:rFonts w:hint="eastAsia"/>
                <w:sz w:val="28"/>
                <w:szCs w:val="28"/>
                <w:vertAlign w:val="baseline"/>
                <w:lang w:val="en-US" w:eastAsia="zh-CN"/>
              </w:rPr>
              <w:t>806</w:t>
            </w:r>
            <w:r>
              <w:rPr>
                <w:rFonts w:hint="eastAsia" w:ascii="Times New Roman" w:hAnsi="Times New Roman" w:eastAsia="宋体"/>
                <w:sz w:val="28"/>
                <w:szCs w:val="28"/>
                <w:vertAlign w:val="baseline"/>
                <w:lang w:val="en-US" w:eastAsia="zh-CN"/>
              </w:rPr>
              <w:t>mg/L，悬浮物最大排放浓度为</w:t>
            </w:r>
            <w:r>
              <w:rPr>
                <w:rFonts w:hint="eastAsia"/>
                <w:sz w:val="28"/>
                <w:szCs w:val="28"/>
                <w:vertAlign w:val="baseline"/>
                <w:lang w:val="en-US" w:eastAsia="zh-CN"/>
              </w:rPr>
              <w:t>26</w:t>
            </w:r>
            <w:r>
              <w:rPr>
                <w:rFonts w:hint="eastAsia" w:ascii="Times New Roman" w:hAnsi="Times New Roman" w:eastAsia="宋体"/>
                <w:sz w:val="28"/>
                <w:szCs w:val="28"/>
                <w:vertAlign w:val="baseline"/>
                <w:lang w:val="en-US" w:eastAsia="zh-CN"/>
              </w:rPr>
              <w:t>mg/L，BOD</w:t>
            </w:r>
            <w:r>
              <w:rPr>
                <w:rFonts w:hint="eastAsia" w:ascii="Times New Roman" w:hAnsi="Times New Roman" w:eastAsia="宋体"/>
                <w:sz w:val="28"/>
                <w:szCs w:val="28"/>
                <w:vertAlign w:val="subscript"/>
                <w:lang w:val="en-US" w:eastAsia="zh-CN"/>
              </w:rPr>
              <w:t>5</w:t>
            </w:r>
            <w:r>
              <w:rPr>
                <w:rFonts w:hint="eastAsia" w:ascii="Times New Roman" w:hAnsi="Times New Roman" w:eastAsia="宋体"/>
                <w:sz w:val="28"/>
                <w:szCs w:val="28"/>
                <w:vertAlign w:val="baseline"/>
                <w:lang w:val="en-US" w:eastAsia="zh-CN"/>
              </w:rPr>
              <w:t>最大排放浓度为</w:t>
            </w:r>
            <w:r>
              <w:rPr>
                <w:rFonts w:hint="eastAsia" w:cs="Times New Roman"/>
                <w:color w:val="auto"/>
                <w:kern w:val="2"/>
                <w:sz w:val="28"/>
                <w:szCs w:val="28"/>
                <w:u w:val="none"/>
                <w:lang w:val="en-US" w:eastAsia="zh-CN" w:bidi="ar"/>
              </w:rPr>
              <w:t>11</w:t>
            </w:r>
            <w:r>
              <w:rPr>
                <w:rFonts w:hint="eastAsia" w:ascii="Times New Roman" w:hAnsi="Times New Roman" w:eastAsia="宋体" w:cs="Times New Roman"/>
                <w:color w:val="auto"/>
                <w:kern w:val="2"/>
                <w:sz w:val="28"/>
                <w:szCs w:val="28"/>
                <w:u w:val="none"/>
                <w:lang w:val="en-US" w:eastAsia="zh-CN" w:bidi="ar"/>
              </w:rPr>
              <w:t>.</w:t>
            </w:r>
            <w:r>
              <w:rPr>
                <w:rFonts w:hint="eastAsia" w:cs="Times New Roman"/>
                <w:color w:val="auto"/>
                <w:kern w:val="2"/>
                <w:sz w:val="28"/>
                <w:szCs w:val="28"/>
                <w:u w:val="none"/>
                <w:lang w:val="en-US" w:eastAsia="zh-CN" w:bidi="ar"/>
              </w:rPr>
              <w:t>2</w:t>
            </w:r>
            <w:r>
              <w:rPr>
                <w:rFonts w:hint="eastAsia" w:ascii="Times New Roman" w:hAnsi="Times New Roman" w:eastAsia="宋体"/>
                <w:sz w:val="28"/>
                <w:szCs w:val="28"/>
                <w:vertAlign w:val="baseline"/>
                <w:lang w:val="en-US" w:eastAsia="zh-CN"/>
              </w:rPr>
              <w:t>mg/L，总排口监测因子排放浓度均满足《污水综合排放标准(GB 8978-1996)》表4</w:t>
            </w:r>
            <w:r>
              <w:rPr>
                <w:rFonts w:hint="eastAsia"/>
                <w:sz w:val="28"/>
                <w:szCs w:val="28"/>
                <w:vertAlign w:val="baseline"/>
                <w:lang w:val="en-US" w:eastAsia="zh-CN"/>
              </w:rPr>
              <w:t>中</w:t>
            </w:r>
            <w:r>
              <w:rPr>
                <w:rFonts w:hint="eastAsia" w:ascii="Times New Roman" w:hAnsi="Times New Roman" w:eastAsia="宋体"/>
                <w:sz w:val="28"/>
                <w:szCs w:val="28"/>
                <w:vertAlign w:val="baseline"/>
                <w:lang w:val="en-US" w:eastAsia="zh-CN"/>
              </w:rPr>
              <w:t>三级标准。</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eastAsia" w:cs="Times New Roman"/>
                <w:sz w:val="28"/>
                <w:szCs w:val="28"/>
                <w:lang w:eastAsia="zh-CN"/>
              </w:rPr>
              <w:t>（</w:t>
            </w:r>
            <w:r>
              <w:rPr>
                <w:rFonts w:hint="eastAsia" w:cs="Times New Roman"/>
                <w:sz w:val="28"/>
                <w:szCs w:val="28"/>
                <w:lang w:val="en-US" w:eastAsia="zh-CN"/>
              </w:rPr>
              <w:t>3</w:t>
            </w:r>
            <w:r>
              <w:rPr>
                <w:rFonts w:hint="eastAsia" w:cs="Times New Roman"/>
                <w:sz w:val="28"/>
                <w:szCs w:val="28"/>
                <w:lang w:eastAsia="zh-CN"/>
              </w:rPr>
              <w:t>）</w:t>
            </w:r>
            <w:r>
              <w:rPr>
                <w:rFonts w:hint="default" w:ascii="Times New Roman" w:hAnsi="Times New Roman" w:eastAsia="宋体" w:cs="Times New Roman"/>
                <w:sz w:val="28"/>
                <w:szCs w:val="28"/>
                <w:lang w:eastAsia="zh-CN"/>
              </w:rPr>
              <w:t>噪声</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eastAsia="zh-CN"/>
              </w:rPr>
              <w:t>本项目</w:t>
            </w:r>
            <w:r>
              <w:rPr>
                <w:rFonts w:hint="eastAsia" w:cs="Times New Roman"/>
                <w:sz w:val="28"/>
                <w:szCs w:val="28"/>
                <w:lang w:val="en-US" w:eastAsia="zh-CN"/>
              </w:rPr>
              <w:t>四周</w:t>
            </w:r>
            <w:r>
              <w:rPr>
                <w:rFonts w:hint="default" w:ascii="Times New Roman" w:hAnsi="Times New Roman" w:eastAsia="宋体" w:cs="Times New Roman"/>
                <w:sz w:val="28"/>
                <w:szCs w:val="28"/>
                <w:lang w:eastAsia="zh-CN"/>
              </w:rPr>
              <w:t>验收期间昼间最大噪声值为</w:t>
            </w:r>
            <w:r>
              <w:rPr>
                <w:rFonts w:hint="eastAsia" w:cs="Times New Roman"/>
                <w:sz w:val="28"/>
                <w:szCs w:val="28"/>
                <w:lang w:val="en-US" w:eastAsia="zh-CN"/>
              </w:rPr>
              <w:t>61</w:t>
            </w:r>
            <w:r>
              <w:rPr>
                <w:rFonts w:hint="default" w:ascii="Times New Roman" w:hAnsi="Times New Roman" w:eastAsia="宋体" w:cs="Times New Roman"/>
                <w:sz w:val="28"/>
                <w:szCs w:val="28"/>
                <w:lang w:eastAsia="zh-CN"/>
              </w:rPr>
              <w:t>dB(A)，夜间最大噪声值为</w:t>
            </w:r>
            <w:r>
              <w:rPr>
                <w:rFonts w:hint="eastAsia" w:cs="Times New Roman"/>
                <w:sz w:val="28"/>
                <w:szCs w:val="28"/>
                <w:lang w:val="en-US" w:eastAsia="zh-CN"/>
              </w:rPr>
              <w:t>49</w:t>
            </w:r>
            <w:r>
              <w:rPr>
                <w:rFonts w:hint="default" w:ascii="Times New Roman" w:hAnsi="Times New Roman" w:eastAsia="宋体" w:cs="Times New Roman"/>
                <w:sz w:val="28"/>
                <w:szCs w:val="28"/>
                <w:lang w:eastAsia="zh-CN"/>
              </w:rPr>
              <w:t>dB(A)，能达到</w:t>
            </w:r>
            <w:r>
              <w:rPr>
                <w:rFonts w:hint="default" w:ascii="Times New Roman" w:hAnsi="Times New Roman" w:eastAsia="宋体" w:cs="Times New Roman"/>
                <w:sz w:val="28"/>
                <w:szCs w:val="28"/>
                <w:lang w:val="en-US" w:eastAsia="zh-CN"/>
              </w:rPr>
              <w:t>《工业企业厂界环境噪声排放标准》（GB 12348-2008）</w:t>
            </w:r>
            <w:r>
              <w:rPr>
                <w:rFonts w:hint="eastAsia" w:cs="Times New Roman"/>
                <w:sz w:val="28"/>
                <w:szCs w:val="28"/>
                <w:lang w:val="en-US" w:eastAsia="zh-CN"/>
              </w:rPr>
              <w:t>中3</w:t>
            </w:r>
            <w:r>
              <w:rPr>
                <w:rFonts w:hint="default" w:ascii="Times New Roman" w:hAnsi="Times New Roman" w:eastAsia="宋体" w:cs="Times New Roman"/>
                <w:sz w:val="28"/>
                <w:szCs w:val="28"/>
                <w:lang w:val="en-US" w:eastAsia="zh-CN"/>
              </w:rPr>
              <w:t>类标准。</w:t>
            </w:r>
          </w:p>
          <w:p>
            <w:pPr>
              <w:pStyle w:val="2"/>
              <w:numPr>
                <w:ilvl w:val="0"/>
                <w:numId w:val="0"/>
              </w:numPr>
              <w:spacing w:line="360" w:lineRule="auto"/>
              <w:ind w:leftChars="200"/>
              <w:jc w:val="both"/>
              <w:rPr>
                <w:rFonts w:hint="default" w:ascii="Times New Roman" w:hAnsi="Times New Roman" w:eastAsia="宋体" w:cs="Times New Roman"/>
                <w:b w:val="0"/>
                <w:bCs w:val="0"/>
                <w:sz w:val="28"/>
                <w:szCs w:val="28"/>
                <w:lang w:eastAsia="zh-CN"/>
              </w:rPr>
            </w:pPr>
            <w:r>
              <w:rPr>
                <w:rFonts w:hint="eastAsia" w:cs="Times New Roman"/>
                <w:b w:val="0"/>
                <w:bCs w:val="0"/>
                <w:sz w:val="28"/>
                <w:szCs w:val="28"/>
                <w:lang w:eastAsia="zh-CN"/>
              </w:rPr>
              <w:t>（</w:t>
            </w:r>
            <w:r>
              <w:rPr>
                <w:rFonts w:hint="eastAsia" w:cs="Times New Roman"/>
                <w:b w:val="0"/>
                <w:bCs w:val="0"/>
                <w:sz w:val="28"/>
                <w:szCs w:val="28"/>
                <w:lang w:val="en-US" w:eastAsia="zh-CN"/>
              </w:rPr>
              <w:t>4</w:t>
            </w:r>
            <w:r>
              <w:rPr>
                <w:rFonts w:hint="eastAsia" w:cs="Times New Roman"/>
                <w:b w:val="0"/>
                <w:bCs w:val="0"/>
                <w:sz w:val="28"/>
                <w:szCs w:val="28"/>
                <w:lang w:eastAsia="zh-CN"/>
              </w:rPr>
              <w:t>）</w:t>
            </w:r>
            <w:r>
              <w:rPr>
                <w:rFonts w:hint="default" w:ascii="Times New Roman" w:hAnsi="Times New Roman" w:eastAsia="宋体" w:cs="Times New Roman"/>
                <w:b w:val="0"/>
                <w:bCs w:val="0"/>
                <w:sz w:val="28"/>
                <w:szCs w:val="28"/>
                <w:lang w:eastAsia="zh-CN"/>
              </w:rPr>
              <w:t>污染物总量控制情况</w:t>
            </w:r>
          </w:p>
          <w:p>
            <w:pPr>
              <w:pStyle w:val="2"/>
              <w:numPr>
                <w:ilvl w:val="0"/>
                <w:numId w:val="0"/>
              </w:numPr>
              <w:spacing w:line="360" w:lineRule="auto"/>
              <w:ind w:leftChars="200"/>
              <w:jc w:val="both"/>
              <w:rPr>
                <w:rFonts w:hint="eastAsia" w:ascii="Times New Roman" w:hAnsi="Times New Roman" w:eastAsia="宋体" w:cs="Times New Roman"/>
                <w:b w:val="0"/>
                <w:bCs w:val="0"/>
                <w:sz w:val="28"/>
                <w:szCs w:val="28"/>
                <w:lang w:val="en-US" w:eastAsia="zh-CN"/>
              </w:rPr>
            </w:pPr>
            <w:r>
              <w:rPr>
                <w:rFonts w:hint="eastAsia" w:ascii="Times New Roman" w:hAnsi="Times New Roman" w:eastAsia="宋体" w:cs="Times New Roman"/>
                <w:b w:val="0"/>
                <w:bCs w:val="0"/>
                <w:sz w:val="28"/>
                <w:szCs w:val="28"/>
                <w:lang w:val="en-US" w:eastAsia="zh-CN"/>
              </w:rPr>
              <w:t>本项目</w:t>
            </w:r>
            <w:r>
              <w:rPr>
                <w:rFonts w:hint="eastAsia" w:cs="Times New Roman"/>
                <w:b w:val="0"/>
                <w:bCs w:val="0"/>
                <w:sz w:val="28"/>
                <w:szCs w:val="28"/>
                <w:lang w:val="en-US" w:eastAsia="zh-CN"/>
              </w:rPr>
              <w:t>无总量控制指标</w:t>
            </w:r>
            <w:r>
              <w:rPr>
                <w:rFonts w:hint="eastAsia" w:ascii="Times New Roman" w:hAnsi="Times New Roman" w:eastAsia="宋体" w:cs="Times New Roman"/>
                <w:b w:val="0"/>
                <w:bCs w:val="0"/>
                <w:sz w:val="28"/>
                <w:szCs w:val="28"/>
                <w:lang w:val="en-US" w:eastAsia="zh-CN"/>
              </w:rPr>
              <w:t>。</w:t>
            </w:r>
          </w:p>
          <w:p>
            <w:pPr>
              <w:pStyle w:val="2"/>
              <w:spacing w:line="360" w:lineRule="auto"/>
              <w:ind w:firstLine="562" w:firstLineChars="200"/>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2</w:t>
            </w:r>
            <w:r>
              <w:rPr>
                <w:rFonts w:hint="default" w:ascii="Times New Roman" w:hAnsi="Times New Roman" w:eastAsia="宋体" w:cs="Times New Roman"/>
                <w:b/>
                <w:bCs/>
                <w:sz w:val="28"/>
                <w:szCs w:val="28"/>
                <w:lang w:eastAsia="zh-CN"/>
              </w:rPr>
              <w:t>、环境管理检查</w:t>
            </w:r>
          </w:p>
          <w:p>
            <w:pPr>
              <w:pStyle w:val="2"/>
              <w:spacing w:line="360" w:lineRule="auto"/>
              <w:ind w:firstLine="560" w:firstLineChars="200"/>
              <w:jc w:val="both"/>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公司制定了环保规章制度，有专人负责环保现场管理，建立了一套完整的规章制度，设立了环境保护管理档案。制定环境保护设施操作规程，加强巡查，确保污染物稳定达标外排。</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根据《排污许可管理办法（试行）》（环境保护部令第48号，2019年8月22日生态环境部令第7号修改）和《固定污染源排污许可分类管理名录(2019年版)》（生态环境部令第11号），项目</w:t>
            </w:r>
            <w:r>
              <w:rPr>
                <w:rFonts w:hint="eastAsia" w:cs="Times New Roman"/>
                <w:sz w:val="28"/>
                <w:szCs w:val="28"/>
                <w:lang w:val="en-US" w:eastAsia="zh-CN"/>
              </w:rPr>
              <w:t>已</w:t>
            </w:r>
            <w:r>
              <w:rPr>
                <w:rFonts w:hint="eastAsia" w:cs="Times New Roman"/>
                <w:sz w:val="28"/>
                <w:szCs w:val="28"/>
                <w:lang w:eastAsia="zh-CN"/>
              </w:rPr>
              <w:t>更新排污许可证。</w:t>
            </w:r>
          </w:p>
          <w:p>
            <w:pPr>
              <w:pStyle w:val="2"/>
              <w:spacing w:line="360" w:lineRule="auto"/>
              <w:ind w:firstLine="560" w:firstLineChars="200"/>
              <w:jc w:val="both"/>
              <w:rPr>
                <w:rFonts w:hint="default"/>
                <w:lang w:eastAsia="zh-CN"/>
              </w:rPr>
            </w:pPr>
            <w:r>
              <w:rPr>
                <w:rFonts w:hint="eastAsia" w:cs="Times New Roman"/>
                <w:sz w:val="28"/>
                <w:szCs w:val="28"/>
                <w:lang w:val="en-US" w:eastAsia="zh-CN"/>
              </w:rPr>
              <w:t>项目应编制突发环境事件应急预案，目前岳阳市康源邦尔生物技术有限责任公司已编写突发环境事件应急预案，并完成备案，备案编号430603 -2021-040-L</w:t>
            </w:r>
            <w:r>
              <w:rPr>
                <w:rFonts w:hint="eastAsia" w:ascii="Times New Roman" w:hAnsi="Times New Roman" w:eastAsia="宋体" w:cs="Times New Roman"/>
                <w:sz w:val="28"/>
                <w:szCs w:val="28"/>
                <w:lang w:val="en-US" w:eastAsia="zh-CN"/>
              </w:rPr>
              <w:t>。</w:t>
            </w:r>
          </w:p>
          <w:p>
            <w:pPr>
              <w:pStyle w:val="2"/>
              <w:spacing w:line="360" w:lineRule="auto"/>
              <w:ind w:firstLine="562" w:firstLineChars="200"/>
              <w:jc w:val="both"/>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3</w:t>
            </w:r>
            <w:r>
              <w:rPr>
                <w:rFonts w:hint="default" w:ascii="Times New Roman" w:hAnsi="Times New Roman" w:eastAsia="宋体" w:cs="Times New Roman"/>
                <w:b/>
                <w:bCs/>
                <w:sz w:val="28"/>
                <w:szCs w:val="28"/>
                <w:lang w:eastAsia="zh-CN"/>
              </w:rPr>
              <w:t>、总结论</w:t>
            </w:r>
          </w:p>
          <w:p>
            <w:pPr>
              <w:pStyle w:val="2"/>
              <w:spacing w:line="360" w:lineRule="auto"/>
              <w:ind w:firstLine="560" w:firstLineChars="200"/>
              <w:jc w:val="both"/>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我公司</w:t>
            </w:r>
            <w:r>
              <w:rPr>
                <w:rFonts w:hint="eastAsia" w:cs="Times New Roman"/>
                <w:sz w:val="28"/>
                <w:szCs w:val="28"/>
                <w:lang w:val="en-US" w:eastAsia="zh-CN"/>
              </w:rPr>
              <w:t>年产5000吨中量元素肥料生产线技改项目</w:t>
            </w:r>
            <w:r>
              <w:rPr>
                <w:rFonts w:hint="default" w:ascii="Times New Roman" w:hAnsi="Times New Roman" w:cs="Times New Roman"/>
                <w:sz w:val="28"/>
                <w:szCs w:val="28"/>
                <w:lang w:val="en-US" w:eastAsia="zh-CN"/>
              </w:rPr>
              <w:t>各项设施运转正常，废气、</w:t>
            </w:r>
            <w:r>
              <w:rPr>
                <w:rFonts w:hint="eastAsia" w:cs="Times New Roman"/>
                <w:sz w:val="28"/>
                <w:szCs w:val="28"/>
                <w:lang w:val="en-US" w:eastAsia="zh-CN"/>
              </w:rPr>
              <w:t>废水、</w:t>
            </w:r>
            <w:r>
              <w:rPr>
                <w:rFonts w:hint="default" w:ascii="Times New Roman" w:hAnsi="Times New Roman" w:cs="Times New Roman"/>
                <w:sz w:val="28"/>
                <w:szCs w:val="28"/>
                <w:lang w:val="en-US" w:eastAsia="zh-CN"/>
              </w:rPr>
              <w:t>噪声达标排放，固体废物收集</w:t>
            </w:r>
            <w:r>
              <w:rPr>
                <w:rFonts w:hint="eastAsia" w:ascii="Times New Roman" w:hAnsi="Times New Roman" w:cs="Times New Roman"/>
                <w:sz w:val="28"/>
                <w:szCs w:val="28"/>
                <w:lang w:val="en-US" w:eastAsia="zh-CN"/>
              </w:rPr>
              <w:t>和规</w:t>
            </w:r>
            <w:r>
              <w:rPr>
                <w:rFonts w:hint="default" w:ascii="Times New Roman" w:hAnsi="Times New Roman" w:cs="Times New Roman"/>
                <w:sz w:val="28"/>
                <w:szCs w:val="28"/>
                <w:lang w:val="en-US" w:eastAsia="zh-CN"/>
              </w:rPr>
              <w:t>处理，达到环保竣工验收条件。</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lang w:eastAsia="zh-CN"/>
              </w:rPr>
            </w:pPr>
          </w:p>
        </w:tc>
      </w:tr>
    </w:tbl>
    <w:p>
      <w:pPr>
        <w:pStyle w:val="32"/>
        <w:rPr>
          <w:rFonts w:hint="default" w:ascii="Times New Roman" w:hAnsi="Times New Roman" w:eastAsia="宋体" w:cs="Times New Roman"/>
          <w:lang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A00002EF" w:usb1="4000207B" w:usb2="00000000" w:usb3="00000000" w:csb0="2000019F" w:csb1="00000000"/>
  </w:font>
  <w:font w:name="楷体">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0"/>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lang w:eastAsia="zh-CN"/>
      </w:rPr>
    </w:pPr>
    <w:r>
      <w:rPr>
        <w:rFonts w:hint="eastAsia"/>
        <w:spacing w:val="-2"/>
        <w:szCs w:val="21"/>
        <w:lang w:eastAsia="zh-CN"/>
      </w:rPr>
      <w:t>岳阳安泰实业有限公司纸制品加工项目</w:t>
    </w:r>
    <w:r>
      <w:rPr>
        <w:rFonts w:hint="eastAsia"/>
        <w:lang w:eastAsia="zh-CN"/>
      </w:rPr>
      <w:t>竣工环保验收监测报告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0"/>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0"/>
      <w:jc w:val="both"/>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7C201"/>
    <w:multiLevelType w:val="singleLevel"/>
    <w:tmpl w:val="8217C201"/>
    <w:lvl w:ilvl="0" w:tentative="0">
      <w:start w:val="1"/>
      <w:numFmt w:val="chineseCounting"/>
      <w:suff w:val="nothing"/>
      <w:lvlText w:val="%1、"/>
      <w:lvlJc w:val="left"/>
      <w:rPr>
        <w:rFonts w:hint="eastAsia"/>
      </w:rPr>
    </w:lvl>
  </w:abstractNum>
  <w:abstractNum w:abstractNumId="1">
    <w:nsid w:val="B8E9B378"/>
    <w:multiLevelType w:val="singleLevel"/>
    <w:tmpl w:val="B8E9B378"/>
    <w:lvl w:ilvl="0" w:tentative="0">
      <w:start w:val="2"/>
      <w:numFmt w:val="decimal"/>
      <w:suff w:val="nothing"/>
      <w:lvlText w:val="（%1）"/>
      <w:lvlJc w:val="left"/>
    </w:lvl>
  </w:abstractNum>
  <w:abstractNum w:abstractNumId="2">
    <w:nsid w:val="00000006"/>
    <w:multiLevelType w:val="multilevel"/>
    <w:tmpl w:val="00000006"/>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lvlText w:val="%2."/>
      <w:lvlJc w:val="left"/>
      <w:pPr>
        <w:ind w:left="0" w:firstLine="0"/>
      </w:pPr>
      <w:rPr>
        <w:rFonts w:hint="eastAsia"/>
        <w:b w:val="0"/>
        <w:i w:val="0"/>
        <w:sz w:val="32"/>
        <w:szCs w:val="32"/>
      </w:rPr>
    </w:lvl>
    <w:lvl w:ilvl="2" w:tentative="0">
      <w:start w:val="1"/>
      <w:numFmt w:val="decimal"/>
      <w:pStyle w:val="29"/>
      <w:suff w:val="nothing"/>
      <w:lvlText w:val="%1%2.%3　"/>
      <w:lvlJc w:val="left"/>
      <w:pPr>
        <w:ind w:left="426" w:firstLine="0"/>
      </w:pPr>
      <w:rPr>
        <w:rFonts w:hint="eastAsia" w:ascii="黑体" w:hAnsi="Times New Roman" w:eastAsia="黑体"/>
        <w:b w:val="0"/>
        <w:i w:val="0"/>
        <w:sz w:val="28"/>
        <w:szCs w:val="28"/>
      </w:rPr>
    </w:lvl>
    <w:lvl w:ilvl="3" w:tentative="0">
      <w:start w:val="1"/>
      <w:numFmt w:val="decimal"/>
      <w:pStyle w:val="28"/>
      <w:suff w:val="nothing"/>
      <w:lvlText w:val="%1%2.%3.%4　"/>
      <w:lvlJc w:val="left"/>
      <w:pPr>
        <w:ind w:left="0" w:firstLine="0"/>
      </w:pPr>
      <w:rPr>
        <w:rFonts w:hint="eastAsia" w:ascii="黑体" w:hAnsi="Times New Roman" w:eastAsia="黑体"/>
        <w:b w:val="0"/>
        <w:i w:val="0"/>
        <w:sz w:val="24"/>
        <w:szCs w:val="24"/>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4D8"/>
    <w:rsid w:val="00001553"/>
    <w:rsid w:val="0002477C"/>
    <w:rsid w:val="000467A4"/>
    <w:rsid w:val="00057D07"/>
    <w:rsid w:val="00094AA5"/>
    <w:rsid w:val="000A4F55"/>
    <w:rsid w:val="0011210C"/>
    <w:rsid w:val="0011371B"/>
    <w:rsid w:val="00124127"/>
    <w:rsid w:val="0015332B"/>
    <w:rsid w:val="002449D0"/>
    <w:rsid w:val="002A00C5"/>
    <w:rsid w:val="002B3645"/>
    <w:rsid w:val="002F3E81"/>
    <w:rsid w:val="00316DD9"/>
    <w:rsid w:val="003262B4"/>
    <w:rsid w:val="003828D4"/>
    <w:rsid w:val="003831C1"/>
    <w:rsid w:val="0040783A"/>
    <w:rsid w:val="0042391F"/>
    <w:rsid w:val="00450403"/>
    <w:rsid w:val="00467D73"/>
    <w:rsid w:val="00472F13"/>
    <w:rsid w:val="004810DF"/>
    <w:rsid w:val="004B4C2F"/>
    <w:rsid w:val="005114DE"/>
    <w:rsid w:val="00516780"/>
    <w:rsid w:val="005D22C3"/>
    <w:rsid w:val="005E0FA0"/>
    <w:rsid w:val="005E5B4B"/>
    <w:rsid w:val="00606EAE"/>
    <w:rsid w:val="00710251"/>
    <w:rsid w:val="00750094"/>
    <w:rsid w:val="00750402"/>
    <w:rsid w:val="007A6B1B"/>
    <w:rsid w:val="007C34A6"/>
    <w:rsid w:val="007D4EBF"/>
    <w:rsid w:val="008537EF"/>
    <w:rsid w:val="008726B9"/>
    <w:rsid w:val="008875DF"/>
    <w:rsid w:val="008B0C2E"/>
    <w:rsid w:val="008B0D0B"/>
    <w:rsid w:val="008C7567"/>
    <w:rsid w:val="008E77A8"/>
    <w:rsid w:val="00944913"/>
    <w:rsid w:val="0099623D"/>
    <w:rsid w:val="00997DE6"/>
    <w:rsid w:val="009E500E"/>
    <w:rsid w:val="00A63783"/>
    <w:rsid w:val="00AA5225"/>
    <w:rsid w:val="00B4553B"/>
    <w:rsid w:val="00B55022"/>
    <w:rsid w:val="00B61A0D"/>
    <w:rsid w:val="00B838B5"/>
    <w:rsid w:val="00BC27B0"/>
    <w:rsid w:val="00BD293E"/>
    <w:rsid w:val="00BF3EC4"/>
    <w:rsid w:val="00BF42E5"/>
    <w:rsid w:val="00C17821"/>
    <w:rsid w:val="00C21B87"/>
    <w:rsid w:val="00C24112"/>
    <w:rsid w:val="00C37F78"/>
    <w:rsid w:val="00C624D8"/>
    <w:rsid w:val="00C85F42"/>
    <w:rsid w:val="00CF447C"/>
    <w:rsid w:val="00CF5E8F"/>
    <w:rsid w:val="00D32743"/>
    <w:rsid w:val="00DC1421"/>
    <w:rsid w:val="00DC6D5A"/>
    <w:rsid w:val="00DE7B2C"/>
    <w:rsid w:val="00E27BF7"/>
    <w:rsid w:val="00E5524F"/>
    <w:rsid w:val="00ED20E2"/>
    <w:rsid w:val="00EE7133"/>
    <w:rsid w:val="00F056CA"/>
    <w:rsid w:val="00F34872"/>
    <w:rsid w:val="00F617B5"/>
    <w:rsid w:val="00F67804"/>
    <w:rsid w:val="00F860BA"/>
    <w:rsid w:val="00F97DEF"/>
    <w:rsid w:val="00FB62FD"/>
    <w:rsid w:val="00FF131B"/>
    <w:rsid w:val="018F44B3"/>
    <w:rsid w:val="01EE6457"/>
    <w:rsid w:val="02121525"/>
    <w:rsid w:val="023F4081"/>
    <w:rsid w:val="03B8184D"/>
    <w:rsid w:val="04B04683"/>
    <w:rsid w:val="052C3662"/>
    <w:rsid w:val="055B00CA"/>
    <w:rsid w:val="065C723D"/>
    <w:rsid w:val="066B3C46"/>
    <w:rsid w:val="07267531"/>
    <w:rsid w:val="076E7CFB"/>
    <w:rsid w:val="07F73AB7"/>
    <w:rsid w:val="0845351A"/>
    <w:rsid w:val="0B51749E"/>
    <w:rsid w:val="0BDF7950"/>
    <w:rsid w:val="0CAD1DE1"/>
    <w:rsid w:val="0CDD768E"/>
    <w:rsid w:val="0EE01256"/>
    <w:rsid w:val="0FFE0CE7"/>
    <w:rsid w:val="100542D7"/>
    <w:rsid w:val="11806714"/>
    <w:rsid w:val="13937B92"/>
    <w:rsid w:val="154C1F8E"/>
    <w:rsid w:val="154D37D6"/>
    <w:rsid w:val="15D722E2"/>
    <w:rsid w:val="169267A3"/>
    <w:rsid w:val="17D1493A"/>
    <w:rsid w:val="192C6E72"/>
    <w:rsid w:val="19962D15"/>
    <w:rsid w:val="1997073F"/>
    <w:rsid w:val="19A53807"/>
    <w:rsid w:val="1A0C1E0A"/>
    <w:rsid w:val="1A9A02C2"/>
    <w:rsid w:val="1B331B16"/>
    <w:rsid w:val="1B6437F4"/>
    <w:rsid w:val="1BD06EA3"/>
    <w:rsid w:val="1C413F19"/>
    <w:rsid w:val="1C982A19"/>
    <w:rsid w:val="1CA46497"/>
    <w:rsid w:val="1D543FB7"/>
    <w:rsid w:val="1E3656D2"/>
    <w:rsid w:val="1E4A1442"/>
    <w:rsid w:val="1F22707D"/>
    <w:rsid w:val="1FA647ED"/>
    <w:rsid w:val="203353F4"/>
    <w:rsid w:val="20337EF7"/>
    <w:rsid w:val="213E2DE1"/>
    <w:rsid w:val="218671D3"/>
    <w:rsid w:val="221730F9"/>
    <w:rsid w:val="2263768B"/>
    <w:rsid w:val="228C0DE1"/>
    <w:rsid w:val="23971D07"/>
    <w:rsid w:val="23E301DA"/>
    <w:rsid w:val="244572E6"/>
    <w:rsid w:val="24A013C2"/>
    <w:rsid w:val="259951EE"/>
    <w:rsid w:val="26F239A4"/>
    <w:rsid w:val="270B6624"/>
    <w:rsid w:val="27A7247C"/>
    <w:rsid w:val="28276E2A"/>
    <w:rsid w:val="299D7B43"/>
    <w:rsid w:val="29B841AE"/>
    <w:rsid w:val="29D77703"/>
    <w:rsid w:val="2AA066ED"/>
    <w:rsid w:val="2BE6198E"/>
    <w:rsid w:val="2C583D4D"/>
    <w:rsid w:val="2CEE28C4"/>
    <w:rsid w:val="2D3851C6"/>
    <w:rsid w:val="2E4130F1"/>
    <w:rsid w:val="2EE84BBF"/>
    <w:rsid w:val="2F0E00F3"/>
    <w:rsid w:val="2FB35175"/>
    <w:rsid w:val="304C3C7C"/>
    <w:rsid w:val="31D50FC4"/>
    <w:rsid w:val="32020D18"/>
    <w:rsid w:val="321B0D38"/>
    <w:rsid w:val="32316FBA"/>
    <w:rsid w:val="32C633E7"/>
    <w:rsid w:val="32DB60B6"/>
    <w:rsid w:val="34552671"/>
    <w:rsid w:val="349C2D9D"/>
    <w:rsid w:val="34E578DB"/>
    <w:rsid w:val="35242C04"/>
    <w:rsid w:val="352A52FC"/>
    <w:rsid w:val="36614048"/>
    <w:rsid w:val="36B3056A"/>
    <w:rsid w:val="3709297F"/>
    <w:rsid w:val="379806C5"/>
    <w:rsid w:val="38267A37"/>
    <w:rsid w:val="387D36E8"/>
    <w:rsid w:val="389F53CB"/>
    <w:rsid w:val="396222F5"/>
    <w:rsid w:val="397317B1"/>
    <w:rsid w:val="397B1DE0"/>
    <w:rsid w:val="3A157C0D"/>
    <w:rsid w:val="3AF972C1"/>
    <w:rsid w:val="3BA53BF4"/>
    <w:rsid w:val="3C5941B2"/>
    <w:rsid w:val="3D386B8C"/>
    <w:rsid w:val="3E6D0477"/>
    <w:rsid w:val="41370316"/>
    <w:rsid w:val="41D122AE"/>
    <w:rsid w:val="421537EA"/>
    <w:rsid w:val="428233A2"/>
    <w:rsid w:val="43347DAE"/>
    <w:rsid w:val="43B44866"/>
    <w:rsid w:val="44510916"/>
    <w:rsid w:val="44840028"/>
    <w:rsid w:val="44AE2CDC"/>
    <w:rsid w:val="44BF526C"/>
    <w:rsid w:val="45841568"/>
    <w:rsid w:val="45EC5D62"/>
    <w:rsid w:val="46C65480"/>
    <w:rsid w:val="47D417F9"/>
    <w:rsid w:val="480E56A3"/>
    <w:rsid w:val="4816748A"/>
    <w:rsid w:val="48780641"/>
    <w:rsid w:val="49E47648"/>
    <w:rsid w:val="4A94790B"/>
    <w:rsid w:val="4BAE4FC4"/>
    <w:rsid w:val="4BBB3E81"/>
    <w:rsid w:val="4BE74679"/>
    <w:rsid w:val="4C4026B4"/>
    <w:rsid w:val="4CD52486"/>
    <w:rsid w:val="4D4544E0"/>
    <w:rsid w:val="4D6B1BF2"/>
    <w:rsid w:val="4DA156C8"/>
    <w:rsid w:val="4E3D3EC0"/>
    <w:rsid w:val="4EF01073"/>
    <w:rsid w:val="4FDF5231"/>
    <w:rsid w:val="50B17D24"/>
    <w:rsid w:val="50F67F49"/>
    <w:rsid w:val="513F699C"/>
    <w:rsid w:val="51A1692D"/>
    <w:rsid w:val="51C64B2D"/>
    <w:rsid w:val="52652177"/>
    <w:rsid w:val="5316100A"/>
    <w:rsid w:val="53735E4F"/>
    <w:rsid w:val="53B95B6C"/>
    <w:rsid w:val="54E77701"/>
    <w:rsid w:val="5647078F"/>
    <w:rsid w:val="564E3A49"/>
    <w:rsid w:val="56BE130A"/>
    <w:rsid w:val="57326653"/>
    <w:rsid w:val="57877677"/>
    <w:rsid w:val="58004B74"/>
    <w:rsid w:val="58BF6C22"/>
    <w:rsid w:val="590C40DE"/>
    <w:rsid w:val="593847DB"/>
    <w:rsid w:val="596E7565"/>
    <w:rsid w:val="5A7D21B6"/>
    <w:rsid w:val="5AAC0CA5"/>
    <w:rsid w:val="5B2A1A98"/>
    <w:rsid w:val="5B2B01B5"/>
    <w:rsid w:val="5B5F131C"/>
    <w:rsid w:val="5B8511E1"/>
    <w:rsid w:val="5C3E40B6"/>
    <w:rsid w:val="5C890207"/>
    <w:rsid w:val="5CC42E7E"/>
    <w:rsid w:val="5D483831"/>
    <w:rsid w:val="5DA40D28"/>
    <w:rsid w:val="5E0348B8"/>
    <w:rsid w:val="5FDA0E7F"/>
    <w:rsid w:val="600C174F"/>
    <w:rsid w:val="612A158C"/>
    <w:rsid w:val="6133177E"/>
    <w:rsid w:val="64B1675E"/>
    <w:rsid w:val="650D0350"/>
    <w:rsid w:val="69C15BAD"/>
    <w:rsid w:val="6A035AB2"/>
    <w:rsid w:val="6B440F3A"/>
    <w:rsid w:val="6B807552"/>
    <w:rsid w:val="6BD90F6A"/>
    <w:rsid w:val="6CCB7A68"/>
    <w:rsid w:val="6EB2407D"/>
    <w:rsid w:val="6EC05989"/>
    <w:rsid w:val="6F54064D"/>
    <w:rsid w:val="6F5E138B"/>
    <w:rsid w:val="70305B32"/>
    <w:rsid w:val="70AF4944"/>
    <w:rsid w:val="72022518"/>
    <w:rsid w:val="72B62309"/>
    <w:rsid w:val="72F50CAB"/>
    <w:rsid w:val="73EA2F07"/>
    <w:rsid w:val="74881452"/>
    <w:rsid w:val="74E81560"/>
    <w:rsid w:val="75467854"/>
    <w:rsid w:val="76EF7BD3"/>
    <w:rsid w:val="789850D7"/>
    <w:rsid w:val="7A44519B"/>
    <w:rsid w:val="7A481FB9"/>
    <w:rsid w:val="7A9A087C"/>
    <w:rsid w:val="7AD73296"/>
    <w:rsid w:val="7B7B6697"/>
    <w:rsid w:val="7D4A5C0F"/>
    <w:rsid w:val="7D6C7532"/>
    <w:rsid w:val="7D7C0FEB"/>
    <w:rsid w:val="7DBF6B88"/>
    <w:rsid w:val="7DD30CDF"/>
    <w:rsid w:val="7E266D15"/>
    <w:rsid w:val="7EF6102F"/>
    <w:rsid w:val="7F972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Times New Roman" w:hAnsi="Times New Roman" w:eastAsia="宋体" w:cs="Noto Sans Mono CJK JP Regular"/>
      <w:kern w:val="0"/>
      <w:sz w:val="24"/>
      <w:szCs w:val="22"/>
      <w:lang w:val="en-US" w:eastAsia="en-US" w:bidi="ar-SA"/>
    </w:rPr>
  </w:style>
  <w:style w:type="paragraph" w:styleId="5">
    <w:name w:val="heading 1"/>
    <w:basedOn w:val="1"/>
    <w:next w:val="1"/>
    <w:qFormat/>
    <w:uiPriority w:val="0"/>
    <w:pPr>
      <w:keepNext/>
      <w:keepLines/>
      <w:spacing w:beforeLines="100" w:line="360" w:lineRule="auto"/>
      <w:outlineLvl w:val="0"/>
    </w:pPr>
    <w:rPr>
      <w:bCs/>
      <w:kern w:val="44"/>
      <w:sz w:val="30"/>
      <w:szCs w:val="44"/>
    </w:rPr>
  </w:style>
  <w:style w:type="paragraph" w:styleId="6">
    <w:name w:val="heading 2"/>
    <w:basedOn w:val="1"/>
    <w:next w:val="7"/>
    <w:link w:val="22"/>
    <w:qFormat/>
    <w:uiPriority w:val="0"/>
    <w:pPr>
      <w:keepNext/>
      <w:keepLines/>
      <w:spacing w:before="240" w:after="120" w:line="360" w:lineRule="auto"/>
      <w:outlineLvl w:val="1"/>
    </w:pPr>
    <w:rPr>
      <w:rFonts w:ascii="Times New Roman" w:hAnsi="Times New Roman" w:eastAsia="宋体"/>
      <w:b/>
      <w:sz w:val="28"/>
      <w:szCs w:val="28"/>
    </w:rPr>
  </w:style>
  <w:style w:type="paragraph" w:styleId="8">
    <w:name w:val="heading 3"/>
    <w:basedOn w:val="1"/>
    <w:next w:val="1"/>
    <w:link w:val="23"/>
    <w:semiHidden/>
    <w:unhideWhenUsed/>
    <w:qFormat/>
    <w:uiPriority w:val="9"/>
    <w:pPr>
      <w:keepNext/>
      <w:keepLines/>
      <w:spacing w:before="260" w:after="260" w:line="416" w:lineRule="auto"/>
      <w:outlineLvl w:val="2"/>
    </w:pPr>
    <w:rPr>
      <w:b/>
      <w:bCs/>
      <w:sz w:val="32"/>
      <w:szCs w:val="32"/>
    </w:rPr>
  </w:style>
  <w:style w:type="paragraph" w:styleId="9">
    <w:name w:val="heading 7"/>
    <w:next w:val="1"/>
    <w:qFormat/>
    <w:uiPriority w:val="0"/>
    <w:pPr>
      <w:adjustRightInd w:val="0"/>
      <w:snapToGrid w:val="0"/>
      <w:spacing w:line="360" w:lineRule="auto"/>
      <w:jc w:val="center"/>
      <w:outlineLvl w:val="6"/>
    </w:pPr>
    <w:rPr>
      <w:rFonts w:ascii="Times New Roman" w:hAnsi="Times New Roman" w:eastAsia="宋体" w:cs="Times New Roman"/>
      <w:kern w:val="2"/>
      <w:sz w:val="21"/>
      <w:szCs w:val="24"/>
      <w:lang w:val="en-US" w:eastAsia="zh-CN" w:bidi="ar-SA"/>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4"/>
    <w:qFormat/>
    <w:uiPriority w:val="1"/>
    <w:rPr>
      <w:sz w:val="24"/>
      <w:szCs w:val="24"/>
    </w:rPr>
  </w:style>
  <w:style w:type="paragraph" w:customStyle="1" w:styleId="3">
    <w:name w:val="xl27"/>
    <w:basedOn w:val="1"/>
    <w:next w:val="4"/>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4">
    <w:name w:val="Body Text Indent 2"/>
    <w:basedOn w:val="1"/>
    <w:next w:val="1"/>
    <w:qFormat/>
    <w:uiPriority w:val="0"/>
    <w:pPr>
      <w:spacing w:after="120" w:line="480" w:lineRule="auto"/>
      <w:ind w:left="200"/>
    </w:pPr>
    <w:rPr>
      <w:szCs w:val="24"/>
    </w:rPr>
  </w:style>
  <w:style w:type="paragraph" w:styleId="7">
    <w:name w:val="Body Text First Indent"/>
    <w:basedOn w:val="2"/>
    <w:next w:val="1"/>
    <w:link w:val="39"/>
    <w:semiHidden/>
    <w:unhideWhenUsed/>
    <w:qFormat/>
    <w:uiPriority w:val="99"/>
    <w:pPr>
      <w:spacing w:after="120"/>
      <w:ind w:firstLine="420" w:firstLineChars="100"/>
    </w:pPr>
    <w:rPr>
      <w:sz w:val="22"/>
      <w:szCs w:val="22"/>
    </w:rPr>
  </w:style>
  <w:style w:type="paragraph" w:styleId="10">
    <w:name w:val="annotation text"/>
    <w:basedOn w:val="1"/>
    <w:qFormat/>
    <w:uiPriority w:val="0"/>
    <w:pPr>
      <w:jc w:val="left"/>
    </w:pPr>
  </w:style>
  <w:style w:type="paragraph" w:styleId="11">
    <w:name w:val="Body Text Indent"/>
    <w:basedOn w:val="1"/>
    <w:next w:val="12"/>
    <w:qFormat/>
    <w:uiPriority w:val="0"/>
    <w:pPr>
      <w:spacing w:after="120"/>
      <w:ind w:left="420" w:leftChars="200"/>
    </w:pPr>
    <w:rPr>
      <w:rFonts w:ascii="Times New Roman" w:hAnsi="Times New Roman"/>
      <w:kern w:val="13"/>
      <w:sz w:val="24"/>
      <w:szCs w:val="24"/>
    </w:rPr>
  </w:style>
  <w:style w:type="paragraph" w:styleId="12">
    <w:name w:val="Body Text First Indent 2"/>
    <w:basedOn w:val="11"/>
    <w:next w:val="1"/>
    <w:qFormat/>
    <w:uiPriority w:val="0"/>
    <w:pPr>
      <w:ind w:firstLine="420" w:firstLineChars="200"/>
    </w:pPr>
    <w:rPr>
      <w:rFonts w:ascii="Calibri" w:hAnsi="Calibri"/>
      <w:kern w:val="2"/>
      <w:sz w:val="21"/>
      <w:szCs w:val="22"/>
    </w:rPr>
  </w:style>
  <w:style w:type="paragraph" w:styleId="13">
    <w:name w:val="Balloon Text"/>
    <w:basedOn w:val="1"/>
    <w:link w:val="37"/>
    <w:unhideWhenUsed/>
    <w:qFormat/>
    <w:uiPriority w:val="99"/>
    <w:rPr>
      <w:sz w:val="18"/>
      <w:szCs w:val="18"/>
    </w:rPr>
  </w:style>
  <w:style w:type="paragraph" w:styleId="14">
    <w:name w:val="footer"/>
    <w:basedOn w:val="1"/>
    <w:link w:val="38"/>
    <w:unhideWhenUsed/>
    <w:qFormat/>
    <w:uiPriority w:val="99"/>
    <w:pPr>
      <w:tabs>
        <w:tab w:val="center" w:pos="4153"/>
        <w:tab w:val="right" w:pos="8306"/>
      </w:tabs>
      <w:snapToGrid w:val="0"/>
    </w:pPr>
    <w:rPr>
      <w:sz w:val="18"/>
      <w:szCs w:val="18"/>
    </w:rPr>
  </w:style>
  <w:style w:type="paragraph" w:styleId="15">
    <w:name w:val="header"/>
    <w:basedOn w:val="1"/>
    <w:link w:val="34"/>
    <w:qFormat/>
    <w:uiPriority w:val="0"/>
    <w:pPr>
      <w:pBdr>
        <w:bottom w:val="single" w:color="auto" w:sz="6" w:space="1"/>
      </w:pBdr>
      <w:tabs>
        <w:tab w:val="center" w:pos="4153"/>
        <w:tab w:val="right" w:pos="8306"/>
      </w:tabs>
      <w:snapToGrid w:val="0"/>
      <w:ind w:firstLine="640"/>
      <w:jc w:val="center"/>
    </w:pPr>
    <w:rPr>
      <w:rFonts w:ascii="Times New Roman" w:hAnsi="Times New Roman" w:eastAsia="宋体"/>
      <w:sz w:val="18"/>
      <w:szCs w:val="18"/>
    </w:rPr>
  </w:style>
  <w:style w:type="paragraph" w:styleId="16">
    <w:name w:val="toc 2"/>
    <w:basedOn w:val="1"/>
    <w:next w:val="1"/>
    <w:qFormat/>
    <w:uiPriority w:val="0"/>
    <w:pPr>
      <w:adjustRightInd w:val="0"/>
      <w:ind w:left="420" w:leftChars="200"/>
      <w:jc w:val="left"/>
      <w:textAlignment w:val="baseline"/>
    </w:pPr>
    <w:rPr>
      <w:sz w:val="24"/>
    </w:rPr>
  </w:style>
  <w:style w:type="paragraph" w:styleId="17">
    <w:name w:val="Body Text 2"/>
    <w:basedOn w:val="1"/>
    <w:link w:val="43"/>
    <w:semiHidden/>
    <w:unhideWhenUsed/>
    <w:qFormat/>
    <w:uiPriority w:val="99"/>
    <w:pPr>
      <w:spacing w:after="120" w:line="480" w:lineRule="auto"/>
    </w:pPr>
  </w:style>
  <w:style w:type="paragraph" w:styleId="1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20">
    <w:name w:val="Table Grid"/>
    <w:basedOn w:val="1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2">
    <w:name w:val="标题 2 Char"/>
    <w:basedOn w:val="21"/>
    <w:link w:val="6"/>
    <w:qFormat/>
    <w:uiPriority w:val="0"/>
    <w:rPr>
      <w:rFonts w:ascii="Times New Roman" w:hAnsi="Times New Roman" w:eastAsia="宋体" w:cs="Noto Sans Mono CJK JP Regular"/>
      <w:b/>
      <w:kern w:val="0"/>
      <w:sz w:val="28"/>
      <w:szCs w:val="28"/>
      <w:lang w:eastAsia="en-US"/>
    </w:rPr>
  </w:style>
  <w:style w:type="character" w:customStyle="1" w:styleId="23">
    <w:name w:val="标题 3 Char"/>
    <w:basedOn w:val="21"/>
    <w:link w:val="8"/>
    <w:semiHidden/>
    <w:qFormat/>
    <w:uiPriority w:val="9"/>
    <w:rPr>
      <w:rFonts w:ascii="Noto Sans Mono CJK JP Regular" w:hAnsi="Noto Sans Mono CJK JP Regular" w:eastAsia="Noto Sans Mono CJK JP Regular" w:cs="Noto Sans Mono CJK JP Regular"/>
      <w:b/>
      <w:bCs/>
      <w:kern w:val="0"/>
      <w:sz w:val="32"/>
      <w:szCs w:val="32"/>
      <w:lang w:eastAsia="en-US"/>
    </w:rPr>
  </w:style>
  <w:style w:type="character" w:customStyle="1" w:styleId="24">
    <w:name w:val="正文文本 Char"/>
    <w:basedOn w:val="21"/>
    <w:link w:val="2"/>
    <w:qFormat/>
    <w:uiPriority w:val="1"/>
    <w:rPr>
      <w:rFonts w:ascii="Noto Sans Mono CJK JP Regular" w:hAnsi="Noto Sans Mono CJK JP Regular" w:eastAsia="宋体" w:cs="Noto Sans Mono CJK JP Regular"/>
      <w:kern w:val="0"/>
      <w:sz w:val="24"/>
      <w:szCs w:val="24"/>
      <w:lang w:eastAsia="en-US"/>
    </w:rPr>
  </w:style>
  <w:style w:type="paragraph" w:customStyle="1" w:styleId="25">
    <w:name w:val="正  文"/>
    <w:basedOn w:val="1"/>
    <w:next w:val="1"/>
    <w:qFormat/>
    <w:uiPriority w:val="0"/>
    <w:pPr>
      <w:spacing w:line="360" w:lineRule="auto"/>
      <w:ind w:firstLine="560" w:firstLineChars="200"/>
    </w:pPr>
    <w:rPr>
      <w:rFonts w:ascii="宋体" w:hAnsi="宋体" w:cs="仿宋_GB2312"/>
      <w:sz w:val="24"/>
      <w:szCs w:val="28"/>
    </w:rPr>
  </w:style>
  <w:style w:type="paragraph" w:customStyle="1" w:styleId="26">
    <w:name w:val="四级条标题"/>
    <w:basedOn w:val="27"/>
    <w:next w:val="31"/>
    <w:qFormat/>
    <w:uiPriority w:val="0"/>
    <w:pPr>
      <w:widowControl/>
      <w:tabs>
        <w:tab w:val="left" w:pos="1260"/>
        <w:tab w:val="left" w:pos="1680"/>
      </w:tabs>
      <w:autoSpaceDE/>
      <w:autoSpaceDN/>
      <w:jc w:val="both"/>
      <w:outlineLvl w:val="5"/>
    </w:pPr>
    <w:rPr>
      <w:rFonts w:ascii="黑体" w:hAnsi="Times New Roman" w:eastAsia="黑体" w:cs="Times New Roman"/>
      <w:sz w:val="21"/>
      <w:szCs w:val="20"/>
      <w:lang w:eastAsia="zh-CN"/>
    </w:rPr>
  </w:style>
  <w:style w:type="paragraph" w:customStyle="1" w:styleId="27">
    <w:name w:val="三级条标题"/>
    <w:basedOn w:val="28"/>
    <w:next w:val="31"/>
    <w:qFormat/>
    <w:uiPriority w:val="0"/>
    <w:pPr>
      <w:numPr>
        <w:ilvl w:val="3"/>
        <w:numId w:val="0"/>
      </w:numPr>
      <w:outlineLvl w:val="4"/>
    </w:pPr>
  </w:style>
  <w:style w:type="paragraph" w:customStyle="1" w:styleId="28">
    <w:name w:val="二级条标题"/>
    <w:basedOn w:val="29"/>
    <w:next w:val="31"/>
    <w:qFormat/>
    <w:uiPriority w:val="0"/>
    <w:pPr>
      <w:numPr>
        <w:ilvl w:val="3"/>
        <w:numId w:val="1"/>
      </w:numPr>
      <w:outlineLvl w:val="3"/>
    </w:pPr>
  </w:style>
  <w:style w:type="paragraph" w:customStyle="1" w:styleId="29">
    <w:name w:val="一级条标题"/>
    <w:basedOn w:val="30"/>
    <w:next w:val="31"/>
    <w:qFormat/>
    <w:uiPriority w:val="0"/>
    <w:pPr>
      <w:numPr>
        <w:ilvl w:val="2"/>
        <w:numId w:val="1"/>
      </w:numPr>
      <w:spacing w:before="0" w:beforeLines="0" w:after="0" w:afterLines="0"/>
      <w:outlineLvl w:val="2"/>
    </w:pPr>
  </w:style>
  <w:style w:type="paragraph" w:customStyle="1" w:styleId="30">
    <w:name w:val="章标题"/>
    <w:next w:val="31"/>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3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
    <w:name w:val="Default"/>
    <w:next w:val="33"/>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3">
    <w:name w:val="报告表正文"/>
    <w:basedOn w:val="1"/>
    <w:qFormat/>
    <w:uiPriority w:val="0"/>
    <w:pPr>
      <w:spacing w:line="360" w:lineRule="auto"/>
      <w:jc w:val="both"/>
    </w:pPr>
    <w:rPr>
      <w:rFonts w:ascii="Times New Roman" w:hAnsi="Times New Roman"/>
      <w:sz w:val="24"/>
      <w:szCs w:val="24"/>
    </w:rPr>
  </w:style>
  <w:style w:type="character" w:customStyle="1" w:styleId="34">
    <w:name w:val="页眉 Char"/>
    <w:basedOn w:val="21"/>
    <w:link w:val="15"/>
    <w:qFormat/>
    <w:uiPriority w:val="0"/>
    <w:rPr>
      <w:rFonts w:ascii="Times New Roman" w:hAnsi="Times New Roman" w:eastAsia="宋体" w:cs="Noto Sans Mono CJK JP Regular"/>
      <w:kern w:val="0"/>
      <w:sz w:val="18"/>
      <w:szCs w:val="18"/>
      <w:lang w:eastAsia="en-US"/>
    </w:rPr>
  </w:style>
  <w:style w:type="paragraph" w:customStyle="1" w:styleId="35">
    <w:name w:val="Table Paragraph"/>
    <w:basedOn w:val="1"/>
    <w:qFormat/>
    <w:uiPriority w:val="1"/>
    <w:pPr>
      <w:jc w:val="center"/>
    </w:pPr>
  </w:style>
  <w:style w:type="paragraph" w:customStyle="1" w:styleId="36">
    <w:name w:val="表格"/>
    <w:basedOn w:val="1"/>
    <w:next w:val="1"/>
    <w:qFormat/>
    <w:uiPriority w:val="0"/>
    <w:pPr>
      <w:jc w:val="center"/>
    </w:pPr>
    <w:rPr>
      <w:rFonts w:ascii="Times New Roman" w:hAnsi="Times New Roman"/>
      <w:sz w:val="21"/>
      <w:szCs w:val="21"/>
    </w:rPr>
  </w:style>
  <w:style w:type="character" w:customStyle="1" w:styleId="37">
    <w:name w:val="批注框文本 Char"/>
    <w:basedOn w:val="21"/>
    <w:link w:val="13"/>
    <w:semiHidden/>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38">
    <w:name w:val="页脚 Char"/>
    <w:basedOn w:val="21"/>
    <w:link w:val="14"/>
    <w:qFormat/>
    <w:uiPriority w:val="99"/>
    <w:rPr>
      <w:rFonts w:ascii="Noto Sans Mono CJK JP Regular" w:hAnsi="Noto Sans Mono CJK JP Regular" w:eastAsia="Noto Sans Mono CJK JP Regular" w:cs="Noto Sans Mono CJK JP Regular"/>
      <w:kern w:val="0"/>
      <w:sz w:val="18"/>
      <w:szCs w:val="18"/>
      <w:lang w:eastAsia="en-US"/>
    </w:rPr>
  </w:style>
  <w:style w:type="character" w:customStyle="1" w:styleId="39">
    <w:name w:val="正文首行缩进 Char"/>
    <w:basedOn w:val="24"/>
    <w:link w:val="7"/>
    <w:semiHidden/>
    <w:qFormat/>
    <w:uiPriority w:val="99"/>
    <w:rPr>
      <w:rFonts w:ascii="Noto Sans Mono CJK JP Regular" w:hAnsi="Noto Sans Mono CJK JP Regular" w:eastAsia="Noto Sans Mono CJK JP Regular" w:cs="Noto Sans Mono CJK JP Regular"/>
      <w:kern w:val="0"/>
      <w:sz w:val="22"/>
      <w:szCs w:val="24"/>
      <w:lang w:eastAsia="en-US"/>
    </w:rPr>
  </w:style>
  <w:style w:type="paragraph" w:customStyle="1" w:styleId="40">
    <w:name w:val="报告书正文 Char Char Char"/>
    <w:basedOn w:val="1"/>
    <w:qFormat/>
    <w:uiPriority w:val="0"/>
    <w:pPr>
      <w:autoSpaceDE/>
      <w:autoSpaceDN/>
      <w:adjustRightInd w:val="0"/>
      <w:spacing w:line="300" w:lineRule="auto"/>
      <w:ind w:firstLine="480" w:firstLineChars="200"/>
      <w:jc w:val="both"/>
      <w:textAlignment w:val="baseline"/>
    </w:pPr>
    <w:rPr>
      <w:rFonts w:ascii="宋体" w:hAnsi="宋体" w:eastAsia="宋体" w:cs="Times New Roman"/>
      <w:sz w:val="24"/>
      <w:szCs w:val="20"/>
      <w:lang w:eastAsia="zh-CN"/>
    </w:rPr>
  </w:style>
  <w:style w:type="character" w:customStyle="1" w:styleId="41">
    <w:name w:val="font31"/>
    <w:basedOn w:val="21"/>
    <w:qFormat/>
    <w:uiPriority w:val="0"/>
    <w:rPr>
      <w:rFonts w:ascii="Times New Roman" w:hAnsi="Times New Roman" w:cs="Times New Roman"/>
      <w:color w:val="000000"/>
      <w:sz w:val="20"/>
      <w:szCs w:val="20"/>
      <w:u w:val="none"/>
      <w:lang w:bidi="ar-SA"/>
    </w:rPr>
  </w:style>
  <w:style w:type="paragraph" w:customStyle="1" w:styleId="42">
    <w:name w:val="1"/>
    <w:basedOn w:val="1"/>
    <w:next w:val="17"/>
    <w:qFormat/>
    <w:uiPriority w:val="0"/>
    <w:pPr>
      <w:tabs>
        <w:tab w:val="left" w:pos="10980"/>
      </w:tabs>
      <w:autoSpaceDE/>
      <w:autoSpaceDN/>
      <w:jc w:val="both"/>
    </w:pPr>
    <w:rPr>
      <w:rFonts w:ascii="宋体" w:hAnsi="Times New Roman" w:eastAsia="宋体" w:cs="宋体"/>
      <w:kern w:val="2"/>
      <w:sz w:val="24"/>
      <w:szCs w:val="24"/>
      <w:lang w:eastAsia="zh-CN"/>
    </w:rPr>
  </w:style>
  <w:style w:type="character" w:customStyle="1" w:styleId="43">
    <w:name w:val="正文文本 2 Char"/>
    <w:basedOn w:val="21"/>
    <w:link w:val="17"/>
    <w:semiHidden/>
    <w:qFormat/>
    <w:uiPriority w:val="99"/>
    <w:rPr>
      <w:rFonts w:ascii="Noto Sans Mono CJK JP Regular" w:hAnsi="Noto Sans Mono CJK JP Regular" w:eastAsia="Noto Sans Mono CJK JP Regular" w:cs="Noto Sans Mono CJK JP Regular"/>
      <w:kern w:val="0"/>
      <w:sz w:val="22"/>
      <w:lang w:eastAsia="en-US"/>
    </w:rPr>
  </w:style>
  <w:style w:type="paragraph" w:customStyle="1" w:styleId="44">
    <w:name w:val="样式3"/>
    <w:basedOn w:val="1"/>
    <w:qFormat/>
    <w:uiPriority w:val="0"/>
    <w:pPr>
      <w:autoSpaceDE/>
      <w:autoSpaceDN/>
      <w:jc w:val="center"/>
    </w:pPr>
    <w:rPr>
      <w:rFonts w:ascii="Times New Roman" w:hAnsi="Times New Roman" w:eastAsia="黑体" w:cs="Times New Roman"/>
      <w:kern w:val="2"/>
      <w:sz w:val="44"/>
      <w:szCs w:val="24"/>
      <w:lang w:eastAsia="zh-CN"/>
    </w:rPr>
  </w:style>
  <w:style w:type="paragraph" w:customStyle="1" w:styleId="45">
    <w:name w:val="普通(网站)1"/>
    <w:basedOn w:val="1"/>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46">
    <w:name w:val="列出段落1"/>
    <w:basedOn w:val="1"/>
    <w:qFormat/>
    <w:uiPriority w:val="0"/>
    <w:pPr>
      <w:autoSpaceDE/>
      <w:autoSpaceDN/>
      <w:ind w:firstLine="420" w:firstLineChars="200"/>
      <w:jc w:val="both"/>
    </w:pPr>
    <w:rPr>
      <w:rFonts w:ascii="Calibri" w:hAnsi="Calibri" w:eastAsia="宋体" w:cs="Times New Roman"/>
      <w:kern w:val="2"/>
      <w:sz w:val="21"/>
      <w:szCs w:val="21"/>
      <w:lang w:eastAsia="zh-CN"/>
    </w:rPr>
  </w:style>
  <w:style w:type="table" w:customStyle="1" w:styleId="47">
    <w:name w:val="网格型1"/>
    <w:basedOn w:val="19"/>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8">
    <w:name w:val="真宗兴正文"/>
    <w:basedOn w:val="1"/>
    <w:qFormat/>
    <w:uiPriority w:val="0"/>
    <w:pPr>
      <w:widowControl w:val="0"/>
      <w:overflowPunct w:val="0"/>
      <w:autoSpaceDE w:val="0"/>
      <w:autoSpaceDN w:val="0"/>
      <w:spacing w:beforeLines="30" w:beforeAutospacing="0" w:afterLines="30" w:line="360" w:lineRule="auto"/>
      <w:ind w:firstLine="480" w:firstLineChars="200"/>
      <w:jc w:val="both"/>
      <w:textAlignment w:val="baseline"/>
    </w:pPr>
    <w:rPr>
      <w:rFonts w:ascii="Times New Roman" w:hAnsi="Times New Roman" w:eastAsia="宋体"/>
      <w:kern w:val="2"/>
      <w:sz w:val="24"/>
      <w:szCs w:val="20"/>
    </w:rPr>
  </w:style>
  <w:style w:type="paragraph" w:customStyle="1" w:styleId="49">
    <w:name w:val="zw"/>
    <w:basedOn w:val="1"/>
    <w:qFormat/>
    <w:uiPriority w:val="0"/>
    <w:pPr>
      <w:spacing w:line="600" w:lineRule="atLeast"/>
      <w:ind w:firstLine="524" w:firstLineChars="187"/>
      <w:jc w:val="both"/>
    </w:pPr>
    <w:rPr>
      <w:rFonts w:eastAsia="宋体" w:cs="Times New Roman"/>
      <w:sz w:val="28"/>
      <w:szCs w:val="28"/>
    </w:rPr>
  </w:style>
  <w:style w:type="paragraph" w:customStyle="1" w:styleId="5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表格RED报告书"/>
    <w:basedOn w:val="1"/>
    <w:qFormat/>
    <w:uiPriority w:val="0"/>
    <w:pPr>
      <w:adjustRightInd/>
      <w:snapToGrid/>
      <w:spacing w:before="0" w:beforeAutospacing="0" w:after="0" w:line="276" w:lineRule="auto"/>
      <w:jc w:val="center"/>
    </w:pPr>
    <w:rPr>
      <w:rFonts w:ascii="仿宋" w:hAnsi="仿宋" w:eastAsia="仿宋" w:cstheme="minorBidi"/>
      <w:sz w:val="1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2.bin"/><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10493</Words>
  <Characters>13148</Characters>
  <Lines>199</Lines>
  <Paragraphs>56</Paragraphs>
  <TotalTime>1008</TotalTime>
  <ScaleCrop>false</ScaleCrop>
  <LinksUpToDate>false</LinksUpToDate>
  <CharactersWithSpaces>13408</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2020-01-10T09:43:00Z</dcterms:created>
  <dc:creator>li</dc:creator>
  <cp:lastModifiedBy>Administrator</cp:lastModifiedBy>
  <cp:lastPrinted>2021-11-05T00:10:25Z</cp:lastPrinted>
  <dcterms:modified xsi:type="dcterms:W3CDTF">2021-11-05T00:41:30Z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45CEF84CEF05440A93F247F0C0519005</vt:lpwstr>
  </property>
</Properties>
</file>